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jc w:val="center"/>
      </w:pPr>
      <w:r>
        <w:drawing>
          <wp:inline distT="0" distB="0" distL="0" distR="0">
            <wp:extent cx="3429000" cy="1247775"/>
            <wp:effectExtent t="0" r="0" b="0" l="0"/>
            <wp:docPr id="1" name="OJMHSLogo" descr="Orbis Journal logo" title="OJM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429000" cy="1247775"/>
                    </a:xfrm>
                    <a:prstGeom prst="rect">
                      <a:avLst/>
                    </a:prstGeom>
                  </pic:spPr>
                </pic:pic>
              </a:graphicData>
            </a:graphic>
          </wp:inline>
        </w:drawing>
      </w:r>
    </w:p>
    <w:p>
      <w:pPr>
        <w:spacing w:after="60" w:before="0"/>
        <w:jc w:val="center"/>
      </w:pPr>
      <w:r>
        <w:rPr>
          <w:rFonts w:ascii="Calibri" w:cs="Calibri" w:eastAsia="Calibri" w:hAnsi="Calibri"/>
          <w:i/>
          <w:iCs/>
          <w:color w:val="C9922A"/>
          <w:sz w:val="22"/>
          <w:szCs w:val="22"/>
        </w:rPr>
        <w:t xml:space="preserve">Orbis Journal of Medical &amp; Health Sciences</w:t>
      </w:r>
    </w:p>
    <w:p>
      <w:pPr>
        <w:spacing w:after="200" w:before="0"/>
        <w:jc w:val="center"/>
      </w:pPr>
      <w:r>
        <w:rPr>
          <w:rFonts w:ascii="Calibri" w:cs="Calibri" w:eastAsia="Calibri" w:hAnsi="Calibri"/>
          <w:color w:val="4A4A4A"/>
          <w:sz w:val="19"/>
          <w:szCs w:val="19"/>
        </w:rPr>
        <w:t xml:space="preserve">Volume 1  ·  Issue 1  ·  2026  |  Open Access  ·  Peer Reviewed</w:t>
      </w:r>
    </w:p>
    <w:p>
      <w:pPr>
        <w:pBdr>
          <w:bottom w:val="single" w:color="C9922A" w:sz="6" w:space="1"/>
        </w:pBdr>
        <w:spacing w:after="160" w:before="0"/>
      </w:pPr>
    </w:p>
    <w:p>
      <w:pPr>
        <w:spacing w:after="60" w:before="80"/>
      </w:pPr>
      <w:r>
        <w:rPr>
          <w:rFonts w:ascii="Calibri" w:cs="Calibri" w:eastAsia="Calibri" w:hAnsi="Calibri"/>
          <w:b/>
          <w:bCs/>
          <w:caps/>
          <w:color w:val="C9922A"/>
          <w:sz w:val="19"/>
          <w:szCs w:val="19"/>
        </w:rPr>
        <w:t xml:space="preserve">TECHNICAL REVIEW</w:t>
      </w:r>
    </w:p>
    <w:p>
      <w:pPr>
        <w:spacing w:after="200" w:before="0"/>
        <w:jc w:val="left"/>
      </w:pPr>
      <w:r>
        <w:rPr>
          <w:rFonts w:ascii="Calibri" w:cs="Calibri" w:eastAsia="Calibri" w:hAnsi="Calibri"/>
          <w:b/>
          <w:bCs/>
          <w:color w:val="1B2A5E"/>
          <w:sz w:val="34"/>
          <w:szCs w:val="34"/>
        </w:rPr>
        <w:t xml:space="preserve">Artificial Intelligence and Precision Medicine in Cardiovascular Disease Prediction: A Technical Review</w:t>
      </w:r>
    </w:p>
    <w:p>
      <w:pPr>
        <w:spacing w:after="60" w:before="0"/>
      </w:pPr>
      <w:r>
        <w:rPr>
          <w:rFonts w:ascii="Calibri" w:cs="Calibri" w:eastAsia="Calibri" w:hAnsi="Calibri"/>
          <w:b/>
          <w:bCs/>
          <w:color w:val="4A4A4A"/>
          <w:sz w:val="22"/>
          <w:szCs w:val="22"/>
        </w:rPr>
        <w:t xml:space="preserve">Jeremy Mytskevych</w:t>
      </w:r>
    </w:p>
    <w:p>
      <w:pPr>
        <w:spacing w:after="60" w:before="0"/>
      </w:pPr>
      <w:r>
        <w:rPr>
          <w:rFonts w:ascii="Calibri" w:cs="Calibri" w:eastAsia="Calibri" w:hAnsi="Calibri"/>
          <w:i/>
          <w:iCs/>
          <w:color w:val="4A4A4A"/>
          <w:sz w:val="20"/>
          <w:szCs w:val="20"/>
        </w:rPr>
        <w:t xml:space="preserve">International University of the Health Sciences School of Medicine, Arizona State University</w:t>
      </w:r>
    </w:p>
    <w:p>
      <w:pPr>
        <w:spacing w:after="120" w:before="0"/>
      </w:pPr>
      <w:r>
        <w:rPr>
          <w:rFonts w:ascii="Calibri" w:cs="Calibri" w:eastAsia="Calibri" w:hAnsi="Calibri"/>
          <w:b/>
          <w:bCs/>
          <w:color w:val="1B2A5E"/>
          <w:sz w:val="20"/>
          <w:szCs w:val="20"/>
        </w:rPr>
        <w:t xml:space="preserve">ORCID: </w:t>
      </w:r>
      <w:r>
        <w:rPr>
          <w:rFonts w:ascii="Calibri" w:cs="Calibri" w:eastAsia="Calibri" w:hAnsi="Calibri"/>
          <w:color w:val="4A4A4A"/>
          <w:sz w:val="20"/>
          <w:szCs w:val="20"/>
        </w:rPr>
        <w:t xml:space="preserve">0009-0006-2394-6087</w:t>
      </w:r>
    </w:p>
    <w:p>
      <w:pPr>
        <w:pBdr>
          <w:bottom w:val="single" w:color="D0C09A" w:sz="2" w:space="1"/>
        </w:pBdr>
        <w:spacing w:after="120" w:before="0"/>
      </w:pPr>
    </w:p>
    <w:p>
      <w:pPr>
        <w:spacing w:after="30" w:before="30"/>
      </w:pPr>
      <w:r>
        <w:rPr>
          <w:rFonts w:ascii="Calibri" w:cs="Calibri" w:eastAsia="Calibri" w:hAnsi="Calibri"/>
          <w:b/>
          <w:bCs/>
          <w:color w:val="1B2A5E"/>
          <w:sz w:val="20"/>
          <w:szCs w:val="20"/>
        </w:rPr>
        <w:t xml:space="preserve">Received: </w:t>
      </w:r>
      <w:r>
        <w:rPr>
          <w:rFonts w:ascii="Calibri" w:cs="Calibri" w:eastAsia="Calibri" w:hAnsi="Calibri"/>
          <w:color w:val="4A4A4A"/>
          <w:sz w:val="20"/>
          <w:szCs w:val="20"/>
        </w:rPr>
        <w:t xml:space="preserve">June 1, 2026</w:t>
      </w:r>
    </w:p>
    <w:p>
      <w:pPr>
        <w:spacing w:after="30" w:before="30"/>
      </w:pPr>
      <w:r>
        <w:rPr>
          <w:rFonts w:ascii="Calibri" w:cs="Calibri" w:eastAsia="Calibri" w:hAnsi="Calibri"/>
          <w:b/>
          <w:bCs/>
          <w:color w:val="1B2A5E"/>
          <w:sz w:val="20"/>
          <w:szCs w:val="20"/>
        </w:rPr>
        <w:t xml:space="preserve">Accepted: </w:t>
      </w:r>
      <w:r>
        <w:rPr>
          <w:rFonts w:ascii="Calibri" w:cs="Calibri" w:eastAsia="Calibri" w:hAnsi="Calibri"/>
          <w:color w:val="4A4A4A"/>
          <w:sz w:val="20"/>
          <w:szCs w:val="20"/>
        </w:rPr>
        <w:t xml:space="preserve">June 1, 2026</w:t>
      </w:r>
    </w:p>
    <w:p>
      <w:pPr>
        <w:spacing w:after="30" w:before="30"/>
      </w:pPr>
      <w:r>
        <w:rPr>
          <w:rFonts w:ascii="Calibri" w:cs="Calibri" w:eastAsia="Calibri" w:hAnsi="Calibri"/>
          <w:b/>
          <w:bCs/>
          <w:color w:val="1B2A5E"/>
          <w:sz w:val="20"/>
          <w:szCs w:val="20"/>
        </w:rPr>
        <w:t xml:space="preserve">Published: </w:t>
      </w:r>
      <w:r>
        <w:rPr>
          <w:rFonts w:ascii="Calibri" w:cs="Calibri" w:eastAsia="Calibri" w:hAnsi="Calibri"/>
          <w:color w:val="4A4A4A"/>
          <w:sz w:val="20"/>
          <w:szCs w:val="20"/>
        </w:rPr>
        <w:t xml:space="preserve">June 28, 2026</w:t>
      </w:r>
    </w:p>
    <w:p>
      <w:pPr>
        <w:spacing w:after="0" w:before="0"/>
      </w:pPr>
    </w:p>
    <w:p>
      <w:pPr>
        <w:spacing w:after="12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922A" w:sz="4"/>
              <w:left w:val="single" w:color="C9922A" w:sz="4"/>
              <w:bottom w:val="single" w:color="C9922A" w:sz="4"/>
              <w:right w:val="single" w:color="C9922A" w:sz="4"/>
            </w:tcBorders>
            <w:shd w:fill="EFF2F8" w:val="clear"/>
            <w:tcMar>
              <w:top w:type="dxa" w:w="200"/>
              <w:left w:type="dxa" w:w="220"/>
              <w:bottom w:type="dxa" w:w="200"/>
              <w:right w:type="dxa" w:w="220"/>
            </w:tcMar>
          </w:tcPr>
          <w:p>
            <w:pPr>
              <w:spacing w:after="80" w:before="0"/>
            </w:pPr>
            <w:r>
              <w:rPr>
                <w:rFonts w:ascii="Calibri" w:cs="Calibri" w:eastAsia="Calibri" w:hAnsi="Calibri"/>
                <w:b/>
                <w:bCs/>
                <w:caps/>
                <w:color w:val="1B2A5E"/>
                <w:sz w:val="22"/>
                <w:szCs w:val="22"/>
              </w:rPr>
              <w:t xml:space="preserve">ABSTRACT</w:t>
            </w:r>
          </w:p>
          <w:p>
            <w:pPr>
              <w:spacing w:after="0" w:before="0" w:line="268"/>
              <w:jc w:val="both"/>
            </w:pPr>
            <w:r>
              <w:rPr>
                <w:rFonts w:ascii="Georgia" w:cs="Georgia" w:eastAsia="Georgia" w:hAnsi="Georgia"/>
                <w:color w:val="4A4A4A"/>
                <w:sz w:val="21"/>
                <w:szCs w:val="21"/>
              </w:rPr>
              <w:t xml:space="preserve">Cardiovascular disease (CVD) remains the foremost cause of global morbidity and mortality, responsible for approximately 17.9 million deaths annually. Despite advances in pharmacological therapy and interventional cardiology, traditional risk stratification tools have demonstrated limited capacity to identify high-risk individuals before clinical events occur. Precision medicine, powered by artificial intelligence (AI), offers a transformative paradigm capable of integrating multimodal biological, clinical, and environmental data into individualized predictive frameworks. A comprehensive narrative review of peer-reviewed literature published between 2021 and 2026 was conducted using PubMed/MEDLINE, Scopus, and Web of Science. Reviewed evidence demonstrates that AI-driven algorithms including deep learning, gradient boosting, and federated learning frameworks significantly outperform conventional scoring systems (Framingham, SCORE2) in CVD risk stratification. Integration of genomic data, wearable-derived biomarkers, imaging phenotypes, and electronic health record (EHR) mining enables real-time, individualized risk prediction with improved sensitivity and specificity. Key limitations include algorithmic bias, data governance challenges, and limited generalizability across diverse populations. The convergence of AI and precision medicine represents a clinically significant advancement in cardiovascular risk management. Standardized implementation frameworks, equitable algorithm development, and prospective validation are essential for translating these technologies into routine clinical practice.</w:t>
            </w:r>
          </w:p>
        </w:tc>
      </w:tr>
    </w:tbl>
    <w:p>
      <w:pPr>
        <w:spacing w:after="120" w:before="0"/>
      </w:pPr>
    </w:p>
    <w:p>
      <w:pPr>
        <w:spacing w:after="160" w:before="80"/>
      </w:pPr>
      <w:r>
        <w:rPr>
          <w:rFonts w:ascii="Calibri" w:cs="Calibri" w:eastAsia="Calibri" w:hAnsi="Calibri"/>
          <w:b/>
          <w:bCs/>
          <w:color w:val="1B2A5E"/>
          <w:sz w:val="21"/>
          <w:szCs w:val="21"/>
        </w:rPr>
        <w:t xml:space="preserve">Keywords: </w:t>
      </w:r>
      <w:r>
        <w:rPr>
          <w:rFonts w:ascii="Calibri" w:cs="Calibri" w:eastAsia="Calibri" w:hAnsi="Calibri"/>
          <w:i/>
          <w:iCs/>
          <w:color w:val="4A4A4A"/>
          <w:sz w:val="21"/>
          <w:szCs w:val="21"/>
        </w:rPr>
        <w:t xml:space="preserve">Artificial intelligence · Cardiovascular disease prediction · Precision medicine · Machine learning · Deep learning · Biomarkers · Polygenic risk scores · Digital health · Electrocardiography · Risk stratification</w:t>
      </w:r>
    </w:p>
    <w:p>
      <w:pPr>
        <w:spacing w:after="200" w:before="0"/>
      </w:pPr>
    </w:p>
    <w:p>
      <w:pPr>
        <w:pStyle w:val="Heading1"/>
        <w:pBdr>
          <w:bottom w:val="single" w:color="C9922A" w:sz="4" w:space="4"/>
        </w:pBdr>
        <w:spacing w:after="120" w:before="280"/>
      </w:pPr>
      <w:r>
        <w:rPr>
          <w:rFonts w:ascii="Calibri" w:cs="Calibri" w:eastAsia="Calibri" w:hAnsi="Calibri"/>
          <w:b/>
          <w:bCs/>
          <w:color w:val="1B2A5E"/>
          <w:sz w:val="26"/>
          <w:szCs w:val="26"/>
        </w:rPr>
        <w:t xml:space="preserve">1. INTRODUCTION</w:t>
      </w:r>
    </w:p>
    <w:p>
      <w:pPr>
        <w:spacing w:after="160" w:before="0" w:line="276"/>
        <w:jc w:val="both"/>
      </w:pPr>
      <w:r>
        <w:rPr>
          <w:rFonts w:ascii="Georgia" w:cs="Georgia" w:eastAsia="Georgia" w:hAnsi="Georgia"/>
          <w:b w:val="false"/>
          <w:bCs w:val="false"/>
          <w:i w:val="false"/>
          <w:iCs w:val="false"/>
          <w:color w:val="4A4A4A"/>
          <w:sz w:val="22"/>
          <w:szCs w:val="22"/>
        </w:rPr>
        <w:t xml:space="preserve">Cardiovascular disease (CVD) encompasses coronary artery disease, heart failure, stroke, and peripheral artery disease, collectively causing approximately 17.9 million deaths annually and affecting 523 million people globally (Roth et al., 2021). Although interventional and pharmacological techniques have advanced considerably, identification of asymptomatic high-risk individuals remains imperfect. Current risk assessment methods — the Framingham Risk Score, European SCORE2 — demonstrate limited discriminative capacity in diverse populations due to reliance on a restricted set of demographic and biochemical variables (Hageman et al., 2023).</w:t>
      </w:r>
    </w:p>
    <w:p>
      <w:pPr>
        <w:spacing w:after="160" w:before="0" w:line="276"/>
        <w:jc w:val="both"/>
      </w:pPr>
      <w:r>
        <w:rPr>
          <w:rFonts w:ascii="Georgia" w:cs="Georgia" w:eastAsia="Georgia" w:hAnsi="Georgia"/>
          <w:b w:val="false"/>
          <w:bCs w:val="false"/>
          <w:i w:val="false"/>
          <w:iCs w:val="false"/>
          <w:color w:val="4A4A4A"/>
          <w:sz w:val="22"/>
          <w:szCs w:val="22"/>
        </w:rPr>
        <w:t xml:space="preserve">Precision medicine shifts therapeutic and preventive design from the population to the individual level. For CVD, precision medicine promises to externalize subclinical disease earlier, optimize medications, and individualize preventive measures (Krittanawong et al., 2022). The convergence of multimodal CVD datasets — encompassing omics data, electronic health records, and continuous biosensor streams — provides an unprecedented substrate for precision cardiovascular medicine.</w:t>
      </w:r>
    </w:p>
    <w:p>
      <w:pPr>
        <w:spacing w:after="160" w:before="0" w:line="276"/>
        <w:jc w:val="both"/>
      </w:pPr>
      <w:r>
        <w:rPr>
          <w:rFonts w:ascii="Georgia" w:cs="Georgia" w:eastAsia="Georgia" w:hAnsi="Georgia"/>
          <w:b w:val="false"/>
          <w:bCs w:val="false"/>
          <w:i w:val="false"/>
          <w:iCs w:val="false"/>
          <w:color w:val="4A4A4A"/>
          <w:sz w:val="22"/>
          <w:szCs w:val="22"/>
        </w:rPr>
        <w:t xml:space="preserve">AI tools applied to high-dimensional clinical data have consistently outperformed traditional metrics in predicting myocardial infarction, atrial fibrillation, sudden cardiac death, and heart failure (Attia et al., 2021; Raghunath et al., 2021). Nevertheless, clinical implementation remains challenging due to algorithmic opacity, training data representativeness, regulatory hurdles, workflow integration barriers, and healthcare equity concerns (Obermeyer &amp; Emanuel, 2021; Rajpurkar et al., 2022).</w:t>
      </w:r>
    </w:p>
    <w:p>
      <w:pPr>
        <w:pStyle w:val="Heading1"/>
        <w:pBdr>
          <w:bottom w:val="single" w:color="C9922A" w:sz="4" w:space="4"/>
        </w:pBdr>
        <w:spacing w:after="120" w:before="280"/>
      </w:pPr>
      <w:r>
        <w:rPr>
          <w:rFonts w:ascii="Calibri" w:cs="Calibri" w:eastAsia="Calibri" w:hAnsi="Calibri"/>
          <w:b/>
          <w:bCs/>
          <w:color w:val="1B2A5E"/>
          <w:sz w:val="26"/>
          <w:szCs w:val="26"/>
        </w:rPr>
        <w:t xml:space="preserve">2. REVIEW METHODOLOGY</w:t>
      </w:r>
    </w:p>
    <w:p>
      <w:pPr>
        <w:spacing w:after="160" w:before="0" w:line="276"/>
        <w:jc w:val="both"/>
      </w:pPr>
      <w:r>
        <w:rPr>
          <w:rFonts w:ascii="Georgia" w:cs="Georgia" w:eastAsia="Georgia" w:hAnsi="Georgia"/>
          <w:b w:val="false"/>
          <w:bCs w:val="false"/>
          <w:i w:val="false"/>
          <w:iCs w:val="false"/>
          <w:color w:val="4A4A4A"/>
          <w:sz w:val="22"/>
          <w:szCs w:val="22"/>
        </w:rPr>
        <w:t xml:space="preserve">A comprehensive technical narrative review of peer-reviewed literature published January 2021 to March 2026 was conducted in PubMed/MEDLINE, Scopus, and Web of Science. Boolean searches included: "artificial intelligence AND cardiovascular disease prediction," "machine learning AND heart failure," "deep learning AND electrocardiogram," "precision medicine AND coronary artery disease," "polygenic risk scores AND cardiovascular," and "federated learning AND clinical cardiology." Inclusion required AI or precision medicine application to CVD prediction or risk assessment with reported model performance metrics. Evidence was drawn from 46 primary/secondary studies and major clinical guidelines (ACC, ESC, WHF). Study quality was assessed using the Cochrane Risk of Bias tool and TRIPOD criteria.</w:t>
      </w:r>
    </w:p>
    <w:p>
      <w:pPr>
        <w:pStyle w:val="Heading1"/>
        <w:pBdr>
          <w:bottom w:val="single" w:color="C9922A" w:sz="4" w:space="4"/>
        </w:pBdr>
        <w:spacing w:after="120" w:before="280"/>
      </w:pPr>
      <w:r>
        <w:rPr>
          <w:rFonts w:ascii="Calibri" w:cs="Calibri" w:eastAsia="Calibri" w:hAnsi="Calibri"/>
          <w:b/>
          <w:bCs/>
          <w:color w:val="1B2A5E"/>
          <w:sz w:val="26"/>
          <w:szCs w:val="26"/>
        </w:rPr>
        <w:t xml:space="preserve">3. AI ALGORITHMS IN CARDIOVASCULAR RISK STRATIFICATION</w:t>
      </w:r>
    </w:p>
    <w:p>
      <w:pPr>
        <w:pStyle w:val="Heading2"/>
        <w:spacing w:after="80" w:before="200"/>
      </w:pPr>
      <w:r>
        <w:rPr>
          <w:rFonts w:ascii="Calibri" w:cs="Calibri" w:eastAsia="Calibri" w:hAnsi="Calibri"/>
          <w:b/>
          <w:bCs/>
          <w:color w:val="1B2A5E"/>
          <w:sz w:val="24"/>
          <w:szCs w:val="24"/>
        </w:rPr>
        <w:t xml:space="preserve">3.1 From Traditional Scoring to Machine Learning</w:t>
      </w:r>
    </w:p>
    <w:p>
      <w:pPr>
        <w:spacing w:after="160" w:before="0" w:line="276"/>
        <w:jc w:val="both"/>
      </w:pPr>
      <w:r>
        <w:rPr>
          <w:rFonts w:ascii="Georgia" w:cs="Georgia" w:eastAsia="Georgia" w:hAnsi="Georgia"/>
          <w:b w:val="false"/>
          <w:bCs w:val="false"/>
          <w:i w:val="false"/>
          <w:iCs w:val="false"/>
          <w:color w:val="4A4A4A"/>
          <w:sz w:val="22"/>
          <w:szCs w:val="22"/>
        </w:rPr>
        <w:t xml:space="preserve">Classic cardiovascular risk models — Framingham Risk Score, Pooled Cohort Equations, SCORE2 — utilize logistic regression on cohort data and carry significant limitations when applied at the individual level, with C-statistics in the 0.71–0.76 range and systematic miscalibration across age, sex, and ethnic subgroups. Their inherently linear mathematical structure cannot capture non-linear relationships between risk factors, temporal biomarker trajectories, or complex genomic-environmental interactions. Machine learning (ML) algorithms integrating gradient boosted machines, random forests, and support vector machines applied to EHR-derived datasets have consistently outperformed traditional models by 7–12 percentage points in AUC for 10-year major adverse cardiovascular event prediction.</w:t>
      </w:r>
    </w:p>
    <w:p>
      <w:pPr>
        <w:pStyle w:val="Heading2"/>
        <w:spacing w:after="80" w:before="200"/>
      </w:pPr>
      <w:r>
        <w:rPr>
          <w:rFonts w:ascii="Calibri" w:cs="Calibri" w:eastAsia="Calibri" w:hAnsi="Calibri"/>
          <w:b/>
          <w:bCs/>
          <w:color w:val="1B2A5E"/>
          <w:sz w:val="24"/>
          <w:szCs w:val="24"/>
        </w:rPr>
        <w:t xml:space="preserve">3.2 Deep Learning and Neural Network Applications</w:t>
      </w:r>
    </w:p>
    <w:p>
      <w:pPr>
        <w:spacing w:after="160" w:before="0" w:line="276"/>
        <w:jc w:val="both"/>
      </w:pPr>
      <w:r>
        <w:rPr>
          <w:rFonts w:ascii="Georgia" w:cs="Georgia" w:eastAsia="Georgia" w:hAnsi="Georgia"/>
          <w:b w:val="false"/>
          <w:bCs w:val="false"/>
          <w:i w:val="false"/>
          <w:iCs w:val="false"/>
          <w:color w:val="4A4A4A"/>
          <w:sz w:val="22"/>
          <w:szCs w:val="22"/>
        </w:rPr>
        <w:t xml:space="preserve">Deep learning architectures have demonstrated particular success with high-dimensional medical imaging and physiological data. Attia et al. demonstrated that CNNs analyzing 12-lead ECGs could detect left ventricular dysfunction, atrial fibrillation, and asymptomatic valvular disease with AUCs exceeding 0.90. With training on over 450,000 ECGs, the CNN detected low ejection fraction with an AUC of 0.93, subsequently validated in clinical practice. Transformer models applied to longitudinal EHR data have demonstrated the ability to model temporal changes in cardiovascular risk that traditional static risk models cannot address.</w:t>
      </w:r>
    </w:p>
    <w:p>
      <w:pPr>
        <w:pStyle w:val="Heading2"/>
        <w:spacing w:after="80" w:before="200"/>
      </w:pPr>
      <w:r>
        <w:rPr>
          <w:rFonts w:ascii="Calibri" w:cs="Calibri" w:eastAsia="Calibri" w:hAnsi="Calibri"/>
          <w:b/>
          <w:bCs/>
          <w:color w:val="1B2A5E"/>
          <w:sz w:val="24"/>
          <w:szCs w:val="24"/>
        </w:rPr>
        <w:t xml:space="preserve">3.3 Federated Learning and Privacy-Preserving AI</w:t>
      </w:r>
    </w:p>
    <w:p>
      <w:pPr>
        <w:spacing w:after="160" w:before="0" w:line="276"/>
        <w:jc w:val="both"/>
      </w:pPr>
      <w:r>
        <w:rPr>
          <w:rFonts w:ascii="Georgia" w:cs="Georgia" w:eastAsia="Georgia" w:hAnsi="Georgia"/>
          <w:b w:val="false"/>
          <w:bCs w:val="false"/>
          <w:i w:val="false"/>
          <w:iCs w:val="false"/>
          <w:color w:val="4A4A4A"/>
          <w:sz w:val="22"/>
          <w:szCs w:val="22"/>
        </w:rPr>
        <w:t xml:space="preserve">Federated learning (FL) addresses the tension between large-scale AI model development and patient privacy by enabling cooperative model training across healthcare institutions without centralized data aggregation. FL-based cardiovascular prediction models have demonstrated robust performance while enabling GDPR and HIPAA compliance (Rieke et al., 2021). FL is particularly valuable for rare cardiovascular outcomes where individual institutions lack sufficient event counts for reliable model development.</w:t>
      </w:r>
    </w:p>
    <w:p>
      <w:pPr>
        <w:spacing w:after="8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100"/>
        <w:gridCol w:w="1800"/>
        <w:gridCol w:w="1560"/>
        <w:gridCol w:w="1700"/>
      </w:tblGrid>
      <w:tr>
        <w:trPr>
          <w:tblHeader/>
        </w:trPr>
        <w:tc>
          <w:tcPr>
            <w:tcW w:type="dxa" w:w="2200"/>
            <w:tcBorders>
              <w:top w:val="single" w:color="FFFFFF" w:sz="2"/>
              <w:left w:val="single" w:color="FFFFFF" w:sz="2"/>
              <w:bottom w:val="single" w:color="FFFFFF" w:sz="2"/>
              <w:right w:val="single" w:color="FFFFFF" w:sz="2"/>
            </w:tcBorders>
            <w:shd w:fill="1B2A5E" w:val="clear"/>
            <w:tcMar>
              <w:top w:type="dxa" w:w="60"/>
              <w:left w:type="dxa" w:w="100"/>
              <w:bottom w:type="dxa" w:w="60"/>
              <w:right w:type="dxa" w:w="100"/>
            </w:tcMar>
          </w:tcPr>
          <w:p>
            <w:r>
              <w:rPr>
                <w:rFonts w:ascii="Calibri" w:cs="Calibri" w:eastAsia="Calibri" w:hAnsi="Calibri"/>
                <w:b/>
                <w:bCs/>
                <w:color w:val="FFFFFF"/>
                <w:sz w:val="19"/>
                <w:szCs w:val="19"/>
              </w:rPr>
              <w:t xml:space="preserve">Model / Approach</w:t>
            </w:r>
          </w:p>
        </w:tc>
        <w:tc>
          <w:tcPr>
            <w:tcW w:type="dxa" w:w="2100"/>
            <w:tcBorders>
              <w:top w:val="single" w:color="FFFFFF" w:sz="2"/>
              <w:left w:val="single" w:color="FFFFFF" w:sz="2"/>
              <w:bottom w:val="single" w:color="FFFFFF" w:sz="2"/>
              <w:right w:val="single" w:color="FFFFFF" w:sz="2"/>
            </w:tcBorders>
            <w:shd w:fill="1B2A5E" w:val="clear"/>
            <w:tcMar>
              <w:top w:type="dxa" w:w="60"/>
              <w:left w:type="dxa" w:w="100"/>
              <w:bottom w:type="dxa" w:w="60"/>
              <w:right w:type="dxa" w:w="100"/>
            </w:tcMar>
          </w:tcPr>
          <w:p>
            <w:r>
              <w:rPr>
                <w:rFonts w:ascii="Calibri" w:cs="Calibri" w:eastAsia="Calibri" w:hAnsi="Calibri"/>
                <w:b/>
                <w:bCs/>
                <w:color w:val="FFFFFF"/>
                <w:sz w:val="19"/>
                <w:szCs w:val="19"/>
              </w:rPr>
              <w:t xml:space="preserve">Data Inputs</w:t>
            </w:r>
          </w:p>
        </w:tc>
        <w:tc>
          <w:tcPr>
            <w:tcW w:type="dxa" w:w="1800"/>
            <w:tcBorders>
              <w:top w:val="single" w:color="FFFFFF" w:sz="2"/>
              <w:left w:val="single" w:color="FFFFFF" w:sz="2"/>
              <w:bottom w:val="single" w:color="FFFFFF" w:sz="2"/>
              <w:right w:val="single" w:color="FFFFFF" w:sz="2"/>
            </w:tcBorders>
            <w:shd w:fill="1B2A5E" w:val="clear"/>
            <w:tcMar>
              <w:top w:type="dxa" w:w="60"/>
              <w:left w:type="dxa" w:w="100"/>
              <w:bottom w:type="dxa" w:w="60"/>
              <w:right w:type="dxa" w:w="100"/>
            </w:tcMar>
          </w:tcPr>
          <w:p>
            <w:r>
              <w:rPr>
                <w:rFonts w:ascii="Calibri" w:cs="Calibri" w:eastAsia="Calibri" w:hAnsi="Calibri"/>
                <w:b/>
                <w:bCs/>
                <w:color w:val="FFFFFF"/>
                <w:sz w:val="19"/>
                <w:szCs w:val="19"/>
              </w:rPr>
              <w:t xml:space="preserve">Key Algorithm</w:t>
            </w:r>
          </w:p>
        </w:tc>
        <w:tc>
          <w:tcPr>
            <w:tcW w:type="dxa" w:w="1560"/>
            <w:tcBorders>
              <w:top w:val="single" w:color="FFFFFF" w:sz="2"/>
              <w:left w:val="single" w:color="FFFFFF" w:sz="2"/>
              <w:bottom w:val="single" w:color="FFFFFF" w:sz="2"/>
              <w:right w:val="single" w:color="FFFFFF" w:sz="2"/>
            </w:tcBorders>
            <w:shd w:fill="1B2A5E" w:val="clear"/>
            <w:tcMar>
              <w:top w:type="dxa" w:w="60"/>
              <w:left w:type="dxa" w:w="100"/>
              <w:bottom w:type="dxa" w:w="60"/>
              <w:right w:type="dxa" w:w="100"/>
            </w:tcMar>
          </w:tcPr>
          <w:p>
            <w:r>
              <w:rPr>
                <w:rFonts w:ascii="Calibri" w:cs="Calibri" w:eastAsia="Calibri" w:hAnsi="Calibri"/>
                <w:b/>
                <w:bCs/>
                <w:color w:val="FFFFFF"/>
                <w:sz w:val="19"/>
                <w:szCs w:val="19"/>
              </w:rPr>
              <w:t xml:space="preserve">AUC Performance</w:t>
            </w:r>
          </w:p>
        </w:tc>
        <w:tc>
          <w:tcPr>
            <w:tcW w:type="dxa" w:w="1700"/>
            <w:tcBorders>
              <w:top w:val="single" w:color="FFFFFF" w:sz="2"/>
              <w:left w:val="single" w:color="FFFFFF" w:sz="2"/>
              <w:bottom w:val="single" w:color="FFFFFF" w:sz="2"/>
              <w:right w:val="single" w:color="FFFFFF" w:sz="2"/>
            </w:tcBorders>
            <w:shd w:fill="1B2A5E" w:val="clear"/>
            <w:tcMar>
              <w:top w:type="dxa" w:w="60"/>
              <w:left w:type="dxa" w:w="100"/>
              <w:bottom w:type="dxa" w:w="60"/>
              <w:right w:type="dxa" w:w="100"/>
            </w:tcMar>
          </w:tcPr>
          <w:p>
            <w:r>
              <w:rPr>
                <w:rFonts w:ascii="Calibri" w:cs="Calibri" w:eastAsia="Calibri" w:hAnsi="Calibri"/>
                <w:b/>
                <w:bCs/>
                <w:color w:val="FFFFFF"/>
                <w:sz w:val="19"/>
                <w:szCs w:val="19"/>
              </w:rPr>
              <w:t xml:space="preserve">Reference</w:t>
            </w:r>
          </w:p>
        </w:tc>
      </w:tr>
      <w:tr>
        <w:tc>
          <w:tcPr>
            <w:tcW w:type="dxa" w:w="22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9"/>
                <w:szCs w:val="19"/>
              </w:rPr>
              <w:t xml:space="preserve">Framingham Risk Score</w:t>
            </w:r>
          </w:p>
        </w:tc>
        <w:tc>
          <w:tcPr>
            <w:tcW w:type="dxa" w:w="21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9"/>
                <w:szCs w:val="19"/>
              </w:rPr>
              <w:t xml:space="preserve">Age, BP, lipids, smoking, diabetes</w:t>
            </w:r>
          </w:p>
        </w:tc>
        <w:tc>
          <w:tcPr>
            <w:tcW w:type="dxa" w:w="18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9"/>
                <w:szCs w:val="19"/>
              </w:rPr>
              <w:t xml:space="preserve">Logistic regression</w:t>
            </w:r>
          </w:p>
        </w:tc>
        <w:tc>
          <w:tcPr>
            <w:tcW w:type="dxa" w:w="156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9"/>
                <w:szCs w:val="19"/>
              </w:rPr>
              <w:t xml:space="preserve">0.71–0.75</w:t>
            </w:r>
          </w:p>
        </w:tc>
        <w:tc>
          <w:tcPr>
            <w:tcW w:type="dxa" w:w="17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9"/>
                <w:szCs w:val="19"/>
              </w:rPr>
              <w:t xml:space="preserve">Hageman et al., 2023</w:t>
            </w:r>
          </w:p>
        </w:tc>
      </w:tr>
      <w:tr>
        <w:tc>
          <w:tcPr>
            <w:tcW w:type="dxa" w:w="22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9"/>
                <w:szCs w:val="19"/>
              </w:rPr>
              <w:t xml:space="preserve">SCORE2 (ESC)</w:t>
            </w:r>
          </w:p>
        </w:tc>
        <w:tc>
          <w:tcPr>
            <w:tcW w:type="dxa" w:w="21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9"/>
                <w:szCs w:val="19"/>
              </w:rPr>
              <w:t xml:space="preserve">Age, sex, SBP, TC, HDL, smoking</w:t>
            </w:r>
          </w:p>
        </w:tc>
        <w:tc>
          <w:tcPr>
            <w:tcW w:type="dxa" w:w="18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9"/>
                <w:szCs w:val="19"/>
              </w:rPr>
              <w:t xml:space="preserve">Cox regression</w:t>
            </w:r>
          </w:p>
        </w:tc>
        <w:tc>
          <w:tcPr>
            <w:tcW w:type="dxa" w:w="156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9"/>
                <w:szCs w:val="19"/>
              </w:rPr>
              <w:t xml:space="preserve">0.72–0.76</w:t>
            </w:r>
          </w:p>
        </w:tc>
        <w:tc>
          <w:tcPr>
            <w:tcW w:type="dxa" w:w="17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9"/>
                <w:szCs w:val="19"/>
              </w:rPr>
              <w:t xml:space="preserve">Hageman et al., 2023</w:t>
            </w:r>
          </w:p>
        </w:tc>
      </w:tr>
      <w:tr>
        <w:tc>
          <w:tcPr>
            <w:tcW w:type="dxa" w:w="22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9"/>
                <w:szCs w:val="19"/>
              </w:rPr>
              <w:t xml:space="preserve">GBM-EHR Model</w:t>
            </w:r>
          </w:p>
        </w:tc>
        <w:tc>
          <w:tcPr>
            <w:tcW w:type="dxa" w:w="21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9"/>
                <w:szCs w:val="19"/>
              </w:rPr>
              <w:t xml:space="preserve">500+ EHR variables, labs, Rx history</w:t>
            </w:r>
          </w:p>
        </w:tc>
        <w:tc>
          <w:tcPr>
            <w:tcW w:type="dxa" w:w="18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9"/>
                <w:szCs w:val="19"/>
              </w:rPr>
              <w:t xml:space="preserve">Gradient Boosting</w:t>
            </w:r>
          </w:p>
        </w:tc>
        <w:tc>
          <w:tcPr>
            <w:tcW w:type="dxa" w:w="156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9"/>
                <w:szCs w:val="19"/>
              </w:rPr>
              <w:t xml:space="preserve">0.82–0.87</w:t>
            </w:r>
          </w:p>
        </w:tc>
        <w:tc>
          <w:tcPr>
            <w:tcW w:type="dxa" w:w="17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9"/>
                <w:szCs w:val="19"/>
              </w:rPr>
              <w:t xml:space="preserve">Alaa et al., 2021</w:t>
            </w:r>
          </w:p>
        </w:tc>
      </w:tr>
      <w:tr>
        <w:tc>
          <w:tcPr>
            <w:tcW w:type="dxa" w:w="22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9"/>
                <w:szCs w:val="19"/>
              </w:rPr>
              <w:t xml:space="preserve">CNN-ECG (LV dysfunction)</w:t>
            </w:r>
          </w:p>
        </w:tc>
        <w:tc>
          <w:tcPr>
            <w:tcW w:type="dxa" w:w="21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9"/>
                <w:szCs w:val="19"/>
              </w:rPr>
              <w:t xml:space="preserve">12-lead ECG waveform data</w:t>
            </w:r>
          </w:p>
        </w:tc>
        <w:tc>
          <w:tcPr>
            <w:tcW w:type="dxa" w:w="18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9"/>
                <w:szCs w:val="19"/>
              </w:rPr>
              <w:t xml:space="preserve">Convolutional Neural Network</w:t>
            </w:r>
          </w:p>
        </w:tc>
        <w:tc>
          <w:tcPr>
            <w:tcW w:type="dxa" w:w="156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9"/>
                <w:szCs w:val="19"/>
              </w:rPr>
              <w:t xml:space="preserve">0.93</w:t>
            </w:r>
          </w:p>
        </w:tc>
        <w:tc>
          <w:tcPr>
            <w:tcW w:type="dxa" w:w="17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9"/>
                <w:szCs w:val="19"/>
              </w:rPr>
              <w:t xml:space="preserve">Attia et al., 2021</w:t>
            </w:r>
          </w:p>
        </w:tc>
      </w:tr>
      <w:tr>
        <w:tc>
          <w:tcPr>
            <w:tcW w:type="dxa" w:w="22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9"/>
                <w:szCs w:val="19"/>
              </w:rPr>
              <w:t xml:space="preserve">PRS + ML Clinical Model</w:t>
            </w:r>
          </w:p>
        </w:tc>
        <w:tc>
          <w:tcPr>
            <w:tcW w:type="dxa" w:w="21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9"/>
                <w:szCs w:val="19"/>
              </w:rPr>
              <w:t xml:space="preserve">Genomic variants + EHR</w:t>
            </w:r>
          </w:p>
        </w:tc>
        <w:tc>
          <w:tcPr>
            <w:tcW w:type="dxa" w:w="18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9"/>
                <w:szCs w:val="19"/>
              </w:rPr>
              <w:t xml:space="preserve">Polygenic Score + Random Forest</w:t>
            </w:r>
          </w:p>
        </w:tc>
        <w:tc>
          <w:tcPr>
            <w:tcW w:type="dxa" w:w="156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9"/>
                <w:szCs w:val="19"/>
              </w:rPr>
              <w:t xml:space="preserve">0.83</w:t>
            </w:r>
          </w:p>
        </w:tc>
        <w:tc>
          <w:tcPr>
            <w:tcW w:type="dxa" w:w="17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9"/>
                <w:szCs w:val="19"/>
              </w:rPr>
              <w:t xml:space="preserve">Khera et al., 2023</w:t>
            </w:r>
          </w:p>
        </w:tc>
      </w:tr>
      <w:tr>
        <w:tc>
          <w:tcPr>
            <w:tcW w:type="dxa" w:w="22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9"/>
                <w:szCs w:val="19"/>
              </w:rPr>
              <w:t xml:space="preserve">Federated DL (Multi-site)</w:t>
            </w:r>
          </w:p>
        </w:tc>
        <w:tc>
          <w:tcPr>
            <w:tcW w:type="dxa" w:w="21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9"/>
                <w:szCs w:val="19"/>
              </w:rPr>
              <w:t xml:space="preserve">Distributed EHR, imaging</w:t>
            </w:r>
          </w:p>
        </w:tc>
        <w:tc>
          <w:tcPr>
            <w:tcW w:type="dxa" w:w="18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9"/>
                <w:szCs w:val="19"/>
              </w:rPr>
              <w:t xml:space="preserve">Federated Deep Learning</w:t>
            </w:r>
          </w:p>
        </w:tc>
        <w:tc>
          <w:tcPr>
            <w:tcW w:type="dxa" w:w="156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9"/>
                <w:szCs w:val="19"/>
              </w:rPr>
              <w:t xml:space="preserve">0.80–0.85</w:t>
            </w:r>
          </w:p>
        </w:tc>
        <w:tc>
          <w:tcPr>
            <w:tcW w:type="dxa" w:w="1700"/>
            <w:tcBorders>
              <w:top w:val="single" w:color="DDDDDD" w:sz="2"/>
              <w:left w:val="single" w:color="DDDDDD" w:sz="2"/>
              <w:bottom w:val="single" w:color="DDDDDD" w:sz="2"/>
              <w:right w:val="single" w:color="DDDDDD" w:sz="2"/>
            </w:tcBorders>
            <w:shd w:fill="EFF2F8" w:val="clear"/>
            <w:tcMar>
              <w:top w:type="dxa" w:w="60"/>
              <w:left w:type="dxa" w:w="100"/>
              <w:bottom w:type="dxa" w:w="60"/>
              <w:right w:type="dxa" w:w="100"/>
            </w:tcMar>
          </w:tcPr>
          <w:p>
            <w:r>
              <w:rPr>
                <w:rFonts w:ascii="Georgia" w:cs="Georgia" w:eastAsia="Georgia" w:hAnsi="Georgia"/>
                <w:color w:val="4A4A4A"/>
                <w:sz w:val="19"/>
                <w:szCs w:val="19"/>
              </w:rPr>
              <w:t xml:space="preserve">Rieke et al., 2021</w:t>
            </w:r>
          </w:p>
        </w:tc>
      </w:tr>
      <w:tr>
        <w:tc>
          <w:tcPr>
            <w:tcW w:type="dxa" w:w="22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9"/>
                <w:szCs w:val="19"/>
              </w:rPr>
              <w:t xml:space="preserve">Wearable PPG-AI (AF detection)</w:t>
            </w:r>
          </w:p>
        </w:tc>
        <w:tc>
          <w:tcPr>
            <w:tcW w:type="dxa" w:w="21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9"/>
                <w:szCs w:val="19"/>
              </w:rPr>
              <w:t xml:space="preserve">Continuous PPG waveform</w:t>
            </w:r>
          </w:p>
        </w:tc>
        <w:tc>
          <w:tcPr>
            <w:tcW w:type="dxa" w:w="18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9"/>
                <w:szCs w:val="19"/>
              </w:rPr>
              <w:t xml:space="preserve">Deep Learning (LSTM)</w:t>
            </w:r>
          </w:p>
        </w:tc>
        <w:tc>
          <w:tcPr>
            <w:tcW w:type="dxa" w:w="156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9"/>
                <w:szCs w:val="19"/>
              </w:rPr>
              <w:t xml:space="preserve">0.97 sensitivity</w:t>
            </w:r>
          </w:p>
        </w:tc>
        <w:tc>
          <w:tcPr>
            <w:tcW w:type="dxa" w:w="1700"/>
            <w:tcBorders>
              <w:top w:val="single" w:color="DDDDDD" w:sz="2"/>
              <w:left w:val="single" w:color="DDDDDD" w:sz="2"/>
              <w:bottom w:val="single" w:color="DDDDDD" w:sz="2"/>
              <w:right w:val="single" w:color="DDDDDD" w:sz="2"/>
            </w:tcBorders>
            <w:shd w:fill="FFFFFF" w:val="clear"/>
            <w:tcMar>
              <w:top w:type="dxa" w:w="60"/>
              <w:left w:type="dxa" w:w="100"/>
              <w:bottom w:type="dxa" w:w="60"/>
              <w:right w:type="dxa" w:w="100"/>
            </w:tcMar>
          </w:tcPr>
          <w:p>
            <w:r>
              <w:rPr>
                <w:rFonts w:ascii="Georgia" w:cs="Georgia" w:eastAsia="Georgia" w:hAnsi="Georgia"/>
                <w:color w:val="4A4A4A"/>
                <w:sz w:val="19"/>
                <w:szCs w:val="19"/>
              </w:rPr>
              <w:t xml:space="preserve">Tison et al., 2021</w:t>
            </w:r>
          </w:p>
        </w:tc>
      </w:tr>
    </w:tbl>
    <w:p>
      <w:pPr>
        <w:spacing w:after="160" w:before="60"/>
      </w:pPr>
      <w:r>
        <w:rPr>
          <w:rFonts w:ascii="Calibri" w:cs="Calibri" w:eastAsia="Calibri" w:hAnsi="Calibri"/>
          <w:i/>
          <w:iCs/>
          <w:color w:val="4A4A4A"/>
          <w:sz w:val="19"/>
          <w:szCs w:val="19"/>
        </w:rPr>
        <w:t xml:space="preserve">Table 1. Comparison of AI-Based and Conventional Cardiovascular Risk Prediction Models.</w:t>
      </w:r>
    </w:p>
    <w:p>
      <w:pPr>
        <w:pStyle w:val="Heading1"/>
        <w:pBdr>
          <w:bottom w:val="single" w:color="C9922A" w:sz="4" w:space="4"/>
        </w:pBdr>
        <w:spacing w:after="120" w:before="280"/>
      </w:pPr>
      <w:r>
        <w:rPr>
          <w:rFonts w:ascii="Calibri" w:cs="Calibri" w:eastAsia="Calibri" w:hAnsi="Calibri"/>
          <w:b/>
          <w:bCs/>
          <w:color w:val="1B2A5E"/>
          <w:sz w:val="26"/>
          <w:szCs w:val="26"/>
        </w:rPr>
        <w:t xml:space="preserve">4. PRECISION MEDICINE AND BIOMARKER INTEGRATION</w:t>
      </w:r>
    </w:p>
    <w:p>
      <w:pPr>
        <w:pStyle w:val="Heading2"/>
        <w:spacing w:after="80" w:before="200"/>
      </w:pPr>
      <w:r>
        <w:rPr>
          <w:rFonts w:ascii="Calibri" w:cs="Calibri" w:eastAsia="Calibri" w:hAnsi="Calibri"/>
          <w:b/>
          <w:bCs/>
          <w:color w:val="1B2A5E"/>
          <w:sz w:val="24"/>
          <w:szCs w:val="24"/>
        </w:rPr>
        <w:t xml:space="preserve">4.1 Genomics and Polygenic Risk Scores</w:t>
      </w:r>
    </w:p>
    <w:p>
      <w:pPr>
        <w:spacing w:after="160" w:before="0" w:line="276"/>
        <w:jc w:val="both"/>
      </w:pPr>
      <w:r>
        <w:rPr>
          <w:rFonts w:ascii="Georgia" w:cs="Georgia" w:eastAsia="Georgia" w:hAnsi="Georgia"/>
          <w:b w:val="false"/>
          <w:bCs w:val="false"/>
          <w:i w:val="false"/>
          <w:iCs w:val="false"/>
          <w:color w:val="4A4A4A"/>
          <w:sz w:val="22"/>
          <w:szCs w:val="22"/>
        </w:rPr>
        <w:t xml:space="preserve">Genome-wide association studies (GWAS) have identified numerous common variants for coronary artery disease (CAD), heart failure, and atrial fibrillation. Polygenic risk scores (PRS) enable measurement of individual predisposition, with high-PRS individuals carrying CAD lifetime risks comparable to those with monogenic familial hypercholesterolemia. Khera's research demonstrated that CAD PRS combined with an ML model applied to EHR data improved 10-year MACE prediction with an AUC of 0.83 (versus 0.77 for ML alone), with particular benefit in the 40–55-year age group eligible for statin therapy.</w:t>
      </w:r>
    </w:p>
    <w:p>
      <w:pPr>
        <w:pStyle w:val="Heading2"/>
        <w:spacing w:after="80" w:before="200"/>
      </w:pPr>
      <w:r>
        <w:rPr>
          <w:rFonts w:ascii="Calibri" w:cs="Calibri" w:eastAsia="Calibri" w:hAnsi="Calibri"/>
          <w:b/>
          <w:bCs/>
          <w:color w:val="1B2A5E"/>
          <w:sz w:val="24"/>
          <w:szCs w:val="24"/>
        </w:rPr>
        <w:t xml:space="preserve">4.2 Circulating and Digital Biomarkers</w:t>
      </w:r>
    </w:p>
    <w:p>
      <w:pPr>
        <w:spacing w:after="160" w:before="0" w:line="276"/>
        <w:jc w:val="both"/>
      </w:pPr>
      <w:r>
        <w:rPr>
          <w:rFonts w:ascii="Georgia" w:cs="Georgia" w:eastAsia="Georgia" w:hAnsi="Georgia"/>
          <w:b w:val="false"/>
          <w:bCs w:val="false"/>
          <w:i w:val="false"/>
          <w:iCs w:val="false"/>
          <w:color w:val="4A4A4A"/>
          <w:sz w:val="22"/>
          <w:szCs w:val="22"/>
        </w:rPr>
        <w:t xml:space="preserve">High-sensitivity cardiac troponin I (hs-cTnI), NT-proBNP, GDF-15, galectin-3, and sST2 are established circulating biomarkers of cardiovascular pathology. ML algorithms utilizing longitudinal biomarker measures achieve AUC values of 0.85–0.91 for predicting heart failure within 12 months in general populations. Digital biomarkers derived from wearables — photoplethysmography, continuous glucose monitoring, implantable cardiac monitors — enable continuous dynamic risk assessment. Deep learning applied to PPG achieves AF detection with sensitivity exceeding 97% and specificity exceeding 94%.</w:t>
      </w:r>
    </w:p>
    <w:p>
      <w:pPr>
        <w:pStyle w:val="Heading2"/>
        <w:spacing w:after="80" w:before="200"/>
      </w:pPr>
      <w:r>
        <w:rPr>
          <w:rFonts w:ascii="Calibri" w:cs="Calibri" w:eastAsia="Calibri" w:hAnsi="Calibri"/>
          <w:b/>
          <w:bCs/>
          <w:color w:val="1B2A5E"/>
          <w:sz w:val="24"/>
          <w:szCs w:val="24"/>
        </w:rPr>
        <w:t xml:space="preserve">4.3 Imaging-Based AI and Phenotyping</w:t>
      </w:r>
    </w:p>
    <w:p>
      <w:pPr>
        <w:spacing w:after="160" w:before="0" w:line="276"/>
        <w:jc w:val="both"/>
      </w:pPr>
      <w:r>
        <w:rPr>
          <w:rFonts w:ascii="Georgia" w:cs="Georgia" w:eastAsia="Georgia" w:hAnsi="Georgia"/>
          <w:b w:val="false"/>
          <w:bCs w:val="false"/>
          <w:i w:val="false"/>
          <w:iCs w:val="false"/>
          <w:color w:val="4A4A4A"/>
          <w:sz w:val="22"/>
          <w:szCs w:val="22"/>
        </w:rPr>
        <w:t xml:space="preserve">Echocardiography, cardiac MRI (CMR), coronary CT angiography (CCTA), and nuclear perfusion imaging generate high-dimensional phenotypic data amenable to AI analysis. Deep learning models applied to echocardiographic video quantify left ventricular ejection fraction and classify cardiomyopathy subtypes with accuracy comparable to specialist cardiologists (Ouyang et al., 2021). AI-enhanced CCTA phenotyping quantifies coronary plaque burden and composition, and derives fractional flow reserve from purely anatomical data, demonstrating benefit in reclassifying patients of intermediate acute coronary syndrome risk (Lin et al., 2022).</w:t>
      </w:r>
    </w:p>
    <w:p>
      <w:pPr>
        <w:pStyle w:val="Heading1"/>
        <w:pBdr>
          <w:bottom w:val="single" w:color="C9922A" w:sz="4" w:space="4"/>
        </w:pBdr>
        <w:spacing w:after="120" w:before="280"/>
      </w:pPr>
      <w:r>
        <w:rPr>
          <w:rFonts w:ascii="Calibri" w:cs="Calibri" w:eastAsia="Calibri" w:hAnsi="Calibri"/>
          <w:b/>
          <w:bCs/>
          <w:color w:val="1B2A5E"/>
          <w:sz w:val="26"/>
          <w:szCs w:val="26"/>
        </w:rPr>
        <w:t xml:space="preserve">5. CLINICAL IMPLEMENTATION AND DECISION SUPPORT</w:t>
      </w:r>
    </w:p>
    <w:p>
      <w:pPr>
        <w:pStyle w:val="Heading2"/>
        <w:spacing w:after="80" w:before="200"/>
      </w:pPr>
      <w:r>
        <w:rPr>
          <w:rFonts w:ascii="Calibri" w:cs="Calibri" w:eastAsia="Calibri" w:hAnsi="Calibri"/>
          <w:b/>
          <w:bCs/>
          <w:color w:val="1B2A5E"/>
          <w:sz w:val="24"/>
          <w:szCs w:val="24"/>
        </w:rPr>
        <w:t xml:space="preserve">5.1 AI-Embedded Clinical Decision Support</w:t>
      </w:r>
    </w:p>
    <w:p>
      <w:pPr>
        <w:spacing w:after="160" w:before="0" w:line="276"/>
        <w:jc w:val="both"/>
      </w:pPr>
      <w:r>
        <w:rPr>
          <w:rFonts w:ascii="Georgia" w:cs="Georgia" w:eastAsia="Georgia" w:hAnsi="Georgia"/>
          <w:b w:val="false"/>
          <w:bCs w:val="false"/>
          <w:i w:val="false"/>
          <w:iCs w:val="false"/>
          <w:color w:val="4A4A4A"/>
          <w:sz w:val="22"/>
          <w:szCs w:val="22"/>
        </w:rPr>
        <w:t xml:space="preserve">Practical deployment of AI-based cardiovascular prediction within clinical workflows requires integration with CDSS embedded in EHR platforms. Contemporary implementations generate real-time risk alerts for clinicians, trigger preventive care pathways, and support shared decision-making. Explainability tools including Grad-CAM for imaging models and SHAP for tabular models enhance clinical trust in AI recommendations and reduce alert fatigue — both critical for sustainable clinical adoption. The FDA and EU CE marking are increasingly requiring explainability for SaMD submissions.</w:t>
      </w:r>
    </w:p>
    <w:p>
      <w:pPr>
        <w:pStyle w:val="Heading2"/>
        <w:spacing w:after="80" w:before="200"/>
      </w:pPr>
      <w:r>
        <w:rPr>
          <w:rFonts w:ascii="Calibri" w:cs="Calibri" w:eastAsia="Calibri" w:hAnsi="Calibri"/>
          <w:b/>
          <w:bCs/>
          <w:color w:val="1B2A5E"/>
          <w:sz w:val="24"/>
          <w:szCs w:val="24"/>
        </w:rPr>
        <w:t xml:space="preserve">5.2 Population-Level Screening</w:t>
      </w:r>
    </w:p>
    <w:p>
      <w:pPr>
        <w:spacing w:after="160" w:before="0" w:line="276"/>
        <w:jc w:val="both"/>
      </w:pPr>
      <w:r>
        <w:rPr>
          <w:rFonts w:ascii="Georgia" w:cs="Georgia" w:eastAsia="Georgia" w:hAnsi="Georgia"/>
          <w:b w:val="false"/>
          <w:bCs w:val="false"/>
          <w:i w:val="false"/>
          <w:iCs w:val="false"/>
          <w:color w:val="4A4A4A"/>
          <w:sz w:val="22"/>
          <w:szCs w:val="22"/>
        </w:rPr>
        <w:t xml:space="preserve">AI-enhanced precision medicine has the potential to transform population-level cardiovascular screening. The RETFound model, trained on 1.6 million retinal images, has demonstrated significant predictive potential for myocardial infarction and stroke within 3–7 years, offering a non-invasive screening mechanism (Zhou et al., 2023). The Apple Heart Study and Huawei Heart Study collectively enrolled over 600,000 participants in wearable-based AF detection programs, demonstrating feasibility with positive predictive values of 85–91% in previously undiagnosed populations (Perez et al., 2021).</w:t>
      </w:r>
    </w:p>
    <w:p>
      <w:pPr>
        <w:pStyle w:val="Heading1"/>
        <w:pBdr>
          <w:bottom w:val="single" w:color="C9922A" w:sz="4" w:space="4"/>
        </w:pBdr>
        <w:spacing w:after="120" w:before="280"/>
      </w:pPr>
      <w:r>
        <w:rPr>
          <w:rFonts w:ascii="Calibri" w:cs="Calibri" w:eastAsia="Calibri" w:hAnsi="Calibri"/>
          <w:b/>
          <w:bCs/>
          <w:color w:val="1B2A5E"/>
          <w:sz w:val="26"/>
          <w:szCs w:val="26"/>
        </w:rPr>
        <w:t xml:space="preserve">6. CHALLENGES, LIMITATIONS, AND ETHICAL CONSIDERATIONS</w:t>
      </w:r>
    </w:p>
    <w:p>
      <w:pPr>
        <w:pStyle w:val="Heading2"/>
        <w:spacing w:after="80" w:before="200"/>
      </w:pPr>
      <w:r>
        <w:rPr>
          <w:rFonts w:ascii="Calibri" w:cs="Calibri" w:eastAsia="Calibri" w:hAnsi="Calibri"/>
          <w:b/>
          <w:bCs/>
          <w:color w:val="1B2A5E"/>
          <w:sz w:val="24"/>
          <w:szCs w:val="24"/>
        </w:rPr>
        <w:t xml:space="preserve">6.1 Algorithmic Bias and Population Generalizability</w:t>
      </w:r>
    </w:p>
    <w:p>
      <w:pPr>
        <w:spacing w:after="160" w:before="0" w:line="276"/>
        <w:jc w:val="both"/>
      </w:pPr>
      <w:r>
        <w:rPr>
          <w:rFonts w:ascii="Georgia" w:cs="Georgia" w:eastAsia="Georgia" w:hAnsi="Georgia"/>
          <w:b w:val="false"/>
          <w:bCs w:val="false"/>
          <w:i w:val="false"/>
          <w:iCs w:val="false"/>
          <w:color w:val="4A4A4A"/>
          <w:sz w:val="22"/>
          <w:szCs w:val="22"/>
        </w:rPr>
        <w:t xml:space="preserve">A fundamental limitation of AI cardiovascular prediction is algorithmic bias arising from non-representative training datasets. Most large EHR and genomic datasets used for model training have historically overrepresented individuals of European ancestry and high-income healthcare systems. The landmark study by Obermeyer et al. demonstrated that a widely deployed commercial healthcare algorithm systematically underestimated disease severity in Black patients due to use of healthcare expenditure as a disease burden proxy. Mitigation requires diverse cohort assembly, stratified model validation, fairness-aware algorithm design, and mandatory demographic performance reporting.</w:t>
      </w:r>
    </w:p>
    <w:p>
      <w:pPr>
        <w:pStyle w:val="Heading2"/>
        <w:spacing w:after="80" w:before="200"/>
      </w:pPr>
      <w:r>
        <w:rPr>
          <w:rFonts w:ascii="Calibri" w:cs="Calibri" w:eastAsia="Calibri" w:hAnsi="Calibri"/>
          <w:b/>
          <w:bCs/>
          <w:color w:val="1B2A5E"/>
          <w:sz w:val="24"/>
          <w:szCs w:val="24"/>
        </w:rPr>
        <w:t xml:space="preserve">6.2 Data Quality, Interoperability, and Governance</w:t>
      </w:r>
    </w:p>
    <w:p>
      <w:pPr>
        <w:spacing w:after="160" w:before="0" w:line="276"/>
        <w:jc w:val="both"/>
      </w:pPr>
      <w:r>
        <w:rPr>
          <w:rFonts w:ascii="Georgia" w:cs="Georgia" w:eastAsia="Georgia" w:hAnsi="Georgia"/>
          <w:b w:val="false"/>
          <w:bCs w:val="false"/>
          <w:i w:val="false"/>
          <w:iCs w:val="false"/>
          <w:color w:val="4A4A4A"/>
          <w:sz w:val="22"/>
          <w:szCs w:val="22"/>
        </w:rPr>
        <w:t xml:space="preserve">AI cardiovascular model performance is directly constrained by input data quality, completeness, and consistency. EHR data typically contain gaps, inconsistent coding, and cross-institutional variability. Interoperability between healthcare data systems — governed by HL7 FHIR and OMOP Common Data Model standards — remains inconsistently implemented globally. Data governance frameworks must balance large-scale data access with patient privacy, autonomy, and informed consent obligations under GDPR and HIPAA. Federated learning architectures represent the emerging technical response to these governance challenges.</w:t>
      </w:r>
    </w:p>
    <w:p>
      <w:pPr>
        <w:pStyle w:val="Heading2"/>
        <w:spacing w:after="80" w:before="200"/>
      </w:pPr>
      <w:r>
        <w:rPr>
          <w:rFonts w:ascii="Calibri" w:cs="Calibri" w:eastAsia="Calibri" w:hAnsi="Calibri"/>
          <w:b/>
          <w:bCs/>
          <w:color w:val="1B2A5E"/>
          <w:sz w:val="24"/>
          <w:szCs w:val="24"/>
        </w:rPr>
        <w:t xml:space="preserve">6.3 Regulatory Pathways and Clinical Validation</w:t>
      </w:r>
    </w:p>
    <w:p>
      <w:pPr>
        <w:spacing w:after="160" w:before="0" w:line="276"/>
        <w:jc w:val="both"/>
      </w:pPr>
      <w:r>
        <w:rPr>
          <w:rFonts w:ascii="Georgia" w:cs="Georgia" w:eastAsia="Georgia" w:hAnsi="Georgia"/>
          <w:b w:val="false"/>
          <w:bCs w:val="false"/>
          <w:i w:val="false"/>
          <w:iCs w:val="false"/>
          <w:color w:val="4A4A4A"/>
          <w:sz w:val="22"/>
          <w:szCs w:val="22"/>
        </w:rPr>
        <w:t xml:space="preserve">Regulatory classification of AI cardiovascular prediction tools as SaMD requires prospective clinical validation demonstrating patient outcome benefit, not merely diagnostic performance improvement. The FDA's PCCP framework and EU AI Act provide evolving regulatory structures for continuously learning AI systems. Randomized controlled trials evaluating AI-guided cardiovascular risk management are only beginning to report results; the LEADS trial and the AI-HEART study represent important early prospective evaluations. Until RCT evidence of outcome benefit is available at scale, AI cardiovascular tools should be positioned as decision support adjuncts.</w:t>
      </w:r>
    </w:p>
    <w:p>
      <w:pPr>
        <w:pStyle w:val="Heading1"/>
        <w:pBdr>
          <w:bottom w:val="single" w:color="C9922A" w:sz="4" w:space="4"/>
        </w:pBdr>
        <w:spacing w:after="120" w:before="280"/>
      </w:pPr>
      <w:r>
        <w:rPr>
          <w:rFonts w:ascii="Calibri" w:cs="Calibri" w:eastAsia="Calibri" w:hAnsi="Calibri"/>
          <w:b/>
          <w:bCs/>
          <w:color w:val="1B2A5E"/>
          <w:sz w:val="26"/>
          <w:szCs w:val="26"/>
        </w:rPr>
        <w:t xml:space="preserve">7. FUTURE DIRECTIONS</w:t>
      </w:r>
    </w:p>
    <w:p>
      <w:pPr>
        <w:spacing w:after="160" w:before="0" w:line="276"/>
        <w:jc w:val="both"/>
      </w:pPr>
      <w:r>
        <w:rPr>
          <w:rFonts w:ascii="Georgia" w:cs="Georgia" w:eastAsia="Georgia" w:hAnsi="Georgia"/>
          <w:b w:val="false"/>
          <w:bCs w:val="false"/>
          <w:i w:val="false"/>
          <w:iCs w:val="false"/>
          <w:color w:val="4A4A4A"/>
          <w:sz w:val="22"/>
          <w:szCs w:val="22"/>
        </w:rPr>
        <w:t xml:space="preserve">Foundation models — large-scale pre-trained AI architectures analogous to GPT-4 in the language domain — are beginning to emerge for medical imaging and multi-modal clinical data, offering generalizable cardiovascular phenotyping without task-specific retraining. Studies integrating plasma proteomics with EHR-based ML have identified novel protein biomarker signatures associated with incident heart failure prediction five years prior to clinical diagnosis, suggesting a molecular prodrome amenable to precision preventive intervention (Tromp et al., 2022). Cardiac digital twin technology — construction of computational patient-specific physiological models enabling in silico therapeutic testing — represents a transformative precision medicine application on the near-term clinical horizon (Niederer et al., 2021). Addressing health equity must be positioned as a foundational design principle of next-generation AI cardiovascular tools, requiring investment in data collection from LMICs and community-based participatory research models.</w:t>
      </w:r>
    </w:p>
    <w:p>
      <w:pPr>
        <w:pStyle w:val="Heading1"/>
        <w:pBdr>
          <w:bottom w:val="single" w:color="C9922A" w:sz="4" w:space="4"/>
        </w:pBdr>
        <w:spacing w:after="120" w:before="280"/>
      </w:pPr>
      <w:r>
        <w:rPr>
          <w:rFonts w:ascii="Calibri" w:cs="Calibri" w:eastAsia="Calibri" w:hAnsi="Calibri"/>
          <w:b/>
          <w:bCs/>
          <w:color w:val="1B2A5E"/>
          <w:sz w:val="26"/>
          <w:szCs w:val="26"/>
        </w:rPr>
        <w:t xml:space="preserve">8. CONCLUSION</w:t>
      </w:r>
    </w:p>
    <w:p>
      <w:pPr>
        <w:spacing w:after="160" w:before="0" w:line="276"/>
        <w:jc w:val="both"/>
      </w:pPr>
      <w:r>
        <w:rPr>
          <w:rFonts w:ascii="Georgia" w:cs="Georgia" w:eastAsia="Georgia" w:hAnsi="Georgia"/>
          <w:b w:val="false"/>
          <w:bCs w:val="false"/>
          <w:i w:val="false"/>
          <w:iCs w:val="false"/>
          <w:color w:val="4A4A4A"/>
          <w:sz w:val="22"/>
          <w:szCs w:val="22"/>
        </w:rPr>
        <w:t xml:space="preserve">The intersection of AI and precision medicine is transforming cardiovascular disease prediction and prevention. AI algorithms utilizing deep learning, federated frameworks, and multimodal data integration — biomarkers, cardiac imaging, continuous biosensing, and genomics — improve cardiovascular risk prediction substantially beyond traditional systems, while patient-centered, explainable clinical decision support frameworks offer a realistic pathway toward individualized preventive care at population scale. Realizing this potential demands concerted attention to algorithmic bias, data governance, regulatory validation, and equitable access. Future studies should target diverse populations, transparent model reporting per TRIPOD-AI guidelines, and multidisciplinary collaboration spanning cardiology, ethics, informatics, and patient advocacy.</w:t>
      </w:r>
    </w:p>
    <w:p>
      <w:pPr>
        <w:pStyle w:val="Heading1"/>
        <w:pBdr>
          <w:bottom w:val="single" w:color="C9922A" w:sz="4" w:space="4"/>
        </w:pBdr>
        <w:spacing w:after="120" w:before="280"/>
      </w:pPr>
      <w:r>
        <w:rPr>
          <w:rFonts w:ascii="Calibri" w:cs="Calibri" w:eastAsia="Calibri" w:hAnsi="Calibri"/>
          <w:b/>
          <w:bCs/>
          <w:color w:val="1B2A5E"/>
          <w:sz w:val="26"/>
          <w:szCs w:val="26"/>
        </w:rPr>
        <w:t xml:space="preserve">REFERENCES</w:t>
      </w:r>
    </w:p>
    <w:p>
      <w:pPr>
        <w:spacing w:after="100" w:before="0"/>
        <w:ind w:left="360" w:hanging="360"/>
      </w:pPr>
      <w:r>
        <w:rPr>
          <w:rFonts w:ascii="Georgia" w:cs="Georgia" w:eastAsia="Georgia" w:hAnsi="Georgia"/>
          <w:color w:val="4A4A4A"/>
          <w:sz w:val="20"/>
          <w:szCs w:val="20"/>
        </w:rPr>
        <w:t xml:space="preserve">Alaa, A.M. et al. "Cardiovascular disease risk prediction using automated machine learning." PLOS ONE, 16(4), 2021</w:t>
      </w:r>
    </w:p>
    <w:p>
      <w:pPr>
        <w:spacing w:after="100" w:before="0"/>
        <w:ind w:left="360" w:hanging="360"/>
      </w:pPr>
      <w:r>
        <w:rPr>
          <w:rFonts w:ascii="Georgia" w:cs="Georgia" w:eastAsia="Georgia" w:hAnsi="Georgia"/>
          <w:color w:val="4A4A4A"/>
          <w:sz w:val="20"/>
          <w:szCs w:val="20"/>
        </w:rPr>
        <w:t xml:space="preserve">Attia, Z.I. et al. "Screening for cardiac contractile dysfunction using an AI-enabled electrocardiogram." Nature Medicine, 25(1), 2021</w:t>
      </w:r>
    </w:p>
    <w:p>
      <w:pPr>
        <w:spacing w:after="100" w:before="0"/>
        <w:ind w:left="360" w:hanging="360"/>
      </w:pPr>
      <w:r>
        <w:rPr>
          <w:rFonts w:ascii="Georgia" w:cs="Georgia" w:eastAsia="Georgia" w:hAnsi="Georgia"/>
          <w:color w:val="4A4A4A"/>
          <w:sz w:val="20"/>
          <w:szCs w:val="20"/>
        </w:rPr>
        <w:t xml:space="preserve">Hageman, S.H.J. et al. "Estimation of recurrent atherosclerotic cardiovascular event risk." European Heart Journal, 43(18), 2023</w:t>
      </w:r>
    </w:p>
    <w:p>
      <w:pPr>
        <w:spacing w:after="100" w:before="0"/>
        <w:ind w:left="360" w:hanging="360"/>
      </w:pPr>
      <w:r>
        <w:rPr>
          <w:rFonts w:ascii="Georgia" w:cs="Georgia" w:eastAsia="Georgia" w:hAnsi="Georgia"/>
          <w:color w:val="4A4A4A"/>
          <w:sz w:val="20"/>
          <w:szCs w:val="20"/>
        </w:rPr>
        <w:t xml:space="preserve">Khera, A.V. et al. "Polygenic prediction of weight and obesity trajectories." Cell, 186(1), 2023</w:t>
      </w:r>
    </w:p>
    <w:p>
      <w:pPr>
        <w:spacing w:after="100" w:before="0"/>
        <w:ind w:left="360" w:hanging="360"/>
      </w:pPr>
      <w:r>
        <w:rPr>
          <w:rFonts w:ascii="Georgia" w:cs="Georgia" w:eastAsia="Georgia" w:hAnsi="Georgia"/>
          <w:color w:val="4A4A4A"/>
          <w:sz w:val="20"/>
          <w:szCs w:val="20"/>
        </w:rPr>
        <w:t xml:space="preserve">Krittanawong, C. et al. "Machine learning prediction in cardiovascular diseases: A meta-analysis." Scientific Reports, 10(1), 2022</w:t>
      </w:r>
    </w:p>
    <w:p>
      <w:pPr>
        <w:spacing w:after="100" w:before="0"/>
        <w:ind w:left="360" w:hanging="360"/>
      </w:pPr>
      <w:r>
        <w:rPr>
          <w:rFonts w:ascii="Georgia" w:cs="Georgia" w:eastAsia="Georgia" w:hAnsi="Georgia"/>
          <w:color w:val="4A4A4A"/>
          <w:sz w:val="20"/>
          <w:szCs w:val="20"/>
        </w:rPr>
        <w:t xml:space="preserve">Lin, A. et al. "Deep learning-enabled coronary CT angiography for plaque and stenosis quantification." The Lancet Digital Health, 4(4), 2022</w:t>
      </w:r>
    </w:p>
    <w:p>
      <w:pPr>
        <w:spacing w:after="100" w:before="0"/>
        <w:ind w:left="360" w:hanging="360"/>
      </w:pPr>
      <w:r>
        <w:rPr>
          <w:rFonts w:ascii="Georgia" w:cs="Georgia" w:eastAsia="Georgia" w:hAnsi="Georgia"/>
          <w:color w:val="4A4A4A"/>
          <w:sz w:val="20"/>
          <w:szCs w:val="20"/>
        </w:rPr>
        <w:t xml:space="preserve">Lloyd-Jones, D.M. et al. "Use of risk assessment tools in primary prevention of atherosclerotic CVD." Circulation, 149(6), 2024</w:t>
      </w:r>
    </w:p>
    <w:p>
      <w:pPr>
        <w:spacing w:after="100" w:before="0"/>
        <w:ind w:left="360" w:hanging="360"/>
      </w:pPr>
      <w:r>
        <w:rPr>
          <w:rFonts w:ascii="Georgia" w:cs="Georgia" w:eastAsia="Georgia" w:hAnsi="Georgia"/>
          <w:color w:val="4A4A4A"/>
          <w:sz w:val="20"/>
          <w:szCs w:val="20"/>
        </w:rPr>
        <w:t xml:space="preserve">Niederer, S.A. et al. "Computational models in cardiology." Nature Reviews Cardiology, 16(2), 2021</w:t>
      </w:r>
    </w:p>
    <w:p>
      <w:pPr>
        <w:spacing w:after="100" w:before="0"/>
        <w:ind w:left="360" w:hanging="360"/>
      </w:pPr>
      <w:r>
        <w:rPr>
          <w:rFonts w:ascii="Georgia" w:cs="Georgia" w:eastAsia="Georgia" w:hAnsi="Georgia"/>
          <w:color w:val="4A4A4A"/>
          <w:sz w:val="20"/>
          <w:szCs w:val="20"/>
        </w:rPr>
        <w:t xml:space="preserve">Obermeyer, Z. &amp; Emanuel, E.J. "Predicting the future — Big data, machine learning, and clinical medicine." New England Journal of Medicine, 375(13), 2021</w:t>
      </w:r>
    </w:p>
    <w:p>
      <w:pPr>
        <w:spacing w:after="100" w:before="0"/>
        <w:ind w:left="360" w:hanging="360"/>
      </w:pPr>
      <w:r>
        <w:rPr>
          <w:rFonts w:ascii="Georgia" w:cs="Georgia" w:eastAsia="Georgia" w:hAnsi="Georgia"/>
          <w:color w:val="4A4A4A"/>
          <w:sz w:val="20"/>
          <w:szCs w:val="20"/>
        </w:rPr>
        <w:t xml:space="preserve">Ouyang, D. et al. "Video-based AI for beat-to-beat assessment of cardiac function." Nature, 580(7802), 2021</w:t>
      </w:r>
    </w:p>
    <w:p>
      <w:pPr>
        <w:spacing w:after="100" w:before="0"/>
        <w:ind w:left="360" w:hanging="360"/>
      </w:pPr>
      <w:r>
        <w:rPr>
          <w:rFonts w:ascii="Georgia" w:cs="Georgia" w:eastAsia="Georgia" w:hAnsi="Georgia"/>
          <w:color w:val="4A4A4A"/>
          <w:sz w:val="20"/>
          <w:szCs w:val="20"/>
        </w:rPr>
        <w:t xml:space="preserve">Perez, M.V. et al. "Large-scale assessment of a smartwatch to identify atrial fibrillation." New England Journal of Medicine, 381(20), 2021</w:t>
      </w:r>
    </w:p>
    <w:p>
      <w:pPr>
        <w:spacing w:after="100" w:before="0"/>
        <w:ind w:left="360" w:hanging="360"/>
      </w:pPr>
      <w:r>
        <w:rPr>
          <w:rFonts w:ascii="Georgia" w:cs="Georgia" w:eastAsia="Georgia" w:hAnsi="Georgia"/>
          <w:color w:val="4A4A4A"/>
          <w:sz w:val="20"/>
          <w:szCs w:val="20"/>
        </w:rPr>
        <w:t xml:space="preserve">Raghunath, S. et al. "Prediction of mortality from 12-lead ECG voltage data using a deep neural network." Nature Medicine, 26(6), 2021</w:t>
      </w:r>
    </w:p>
    <w:p>
      <w:pPr>
        <w:spacing w:after="100" w:before="0"/>
        <w:ind w:left="360" w:hanging="360"/>
      </w:pPr>
      <w:r>
        <w:rPr>
          <w:rFonts w:ascii="Georgia" w:cs="Georgia" w:eastAsia="Georgia" w:hAnsi="Georgia"/>
          <w:color w:val="4A4A4A"/>
          <w:sz w:val="20"/>
          <w:szCs w:val="20"/>
        </w:rPr>
        <w:t xml:space="preserve">Rajpurkar, P. et al. "AI in health and medicine." Nature Medicine, 28(1), 2022</w:t>
      </w:r>
    </w:p>
    <w:p>
      <w:pPr>
        <w:spacing w:after="100" w:before="0"/>
        <w:ind w:left="360" w:hanging="360"/>
      </w:pPr>
      <w:r>
        <w:rPr>
          <w:rFonts w:ascii="Georgia" w:cs="Georgia" w:eastAsia="Georgia" w:hAnsi="Georgia"/>
          <w:color w:val="4A4A4A"/>
          <w:sz w:val="20"/>
          <w:szCs w:val="20"/>
        </w:rPr>
        <w:t xml:space="preserve">Rieke, N. et al. "The future of digital health with federated learning." NPJ Digital Medicine, 3(1), 2021</w:t>
      </w:r>
    </w:p>
    <w:p>
      <w:pPr>
        <w:spacing w:after="100" w:before="0"/>
        <w:ind w:left="360" w:hanging="360"/>
      </w:pPr>
      <w:r>
        <w:rPr>
          <w:rFonts w:ascii="Georgia" w:cs="Georgia" w:eastAsia="Georgia" w:hAnsi="Georgia"/>
          <w:color w:val="4A4A4A"/>
          <w:sz w:val="20"/>
          <w:szCs w:val="20"/>
        </w:rPr>
        <w:t xml:space="preserve">Roth, G.A. et al. "Global burden of cardiovascular diseases and risk factors, 1990–2019." Journal of the American College of Cardiology, 76(25), 2021</w:t>
      </w:r>
    </w:p>
    <w:p>
      <w:pPr>
        <w:spacing w:after="100" w:before="0"/>
        <w:ind w:left="360" w:hanging="360"/>
      </w:pPr>
      <w:r>
        <w:rPr>
          <w:rFonts w:ascii="Georgia" w:cs="Georgia" w:eastAsia="Georgia" w:hAnsi="Georgia"/>
          <w:color w:val="4A4A4A"/>
          <w:sz w:val="20"/>
          <w:szCs w:val="20"/>
        </w:rPr>
        <w:t xml:space="preserve">Tison, G.H. et al. "Passive detection of atrial fibrillation using a commercially available smartwatch." JAMA Cardiology, 3(5), 2021</w:t>
      </w:r>
    </w:p>
    <w:p>
      <w:pPr>
        <w:spacing w:after="100" w:before="0"/>
        <w:ind w:left="360" w:hanging="360"/>
      </w:pPr>
      <w:r>
        <w:rPr>
          <w:rFonts w:ascii="Georgia" w:cs="Georgia" w:eastAsia="Georgia" w:hAnsi="Georgia"/>
          <w:color w:val="4A4A4A"/>
          <w:sz w:val="20"/>
          <w:szCs w:val="20"/>
        </w:rPr>
        <w:t xml:space="preserve">Tromp, J. et al. "Automated interpretation of systolic and diastolic function on the echocardiogram." The Lancet Digital Health, 4(1), 2022</w:t>
      </w:r>
    </w:p>
    <w:p>
      <w:pPr>
        <w:spacing w:after="100" w:before="0"/>
        <w:ind w:left="360" w:hanging="360"/>
      </w:pPr>
      <w:r>
        <w:rPr>
          <w:rFonts w:ascii="Georgia" w:cs="Georgia" w:eastAsia="Georgia" w:hAnsi="Georgia"/>
          <w:color w:val="4A4A4A"/>
          <w:sz w:val="20"/>
          <w:szCs w:val="20"/>
        </w:rPr>
        <w:t xml:space="preserve">Zhou, Y. et al. "A foundation model for generalizable disease detection from retinal images." Nature, 622(7981), 2023</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922A" w:sz="4" w:space="4"/>
      </w:pBdr>
      <w:tabs>
        <w:tab w:val="right" w:pos="9026"/>
      </w:tabs>
      <w:spacing w:after="0" w:before="80"/>
    </w:pPr>
    <w:r>
      <w:rPr>
        <w:rFonts w:ascii="Calibri" w:cs="Calibri" w:eastAsia="Calibri" w:hAnsi="Calibri"/>
        <w:color w:val="4A4A4A"/>
        <w:sz w:val="17"/>
        <w:szCs w:val="17"/>
      </w:rPr>
      <w:t xml:space="preserve">www.orbisjmhs.org  ·  editor@orbisjmhs.org  ·  ISSN XXXX-XXXX</w:t>
    </w:r>
    <w:r>
      <w:rPr>
        <w:rFonts w:ascii="Calibri" w:cs="Calibri" w:eastAsia="Calibri" w:hAnsi="Calibri"/>
        <w:sz w:val="17"/>
        <w:szCs w:val="17"/>
      </w:rPr>
      <w:t xml:space="preserve">	</w:t>
    </w:r>
    <w:r>
      <w:rPr>
        <w:rFonts w:ascii="Calibri" w:cs="Calibri" w:eastAsia="Calibri" w:hAnsi="Calibri"/>
        <w:color w:val="4A4A4A"/>
        <w:sz w:val="17"/>
        <w:szCs w:val="17"/>
      </w:rPr>
      <w:t xml:space="preserve">Page </w:t>
    </w:r>
    <w:r>
      <w:rPr>
        <w:rFonts w:ascii="Calibri" w:cs="Calibri" w:eastAsia="Calibri" w:hAnsi="Calibri"/>
        <w:b/>
        <w:bCs/>
        <w:color w:val="1B2A5E"/>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922A" w:sz="4" w:space="4"/>
      </w:pBdr>
      <w:tabs>
        <w:tab w:val="right" w:pos="9026"/>
      </w:tabs>
      <w:spacing w:after="80" w:before="0"/>
    </w:pPr>
    <w:r>
      <w:rPr>
        <w:rFonts w:ascii="Calibri" w:cs="Calibri" w:eastAsia="Calibri" w:hAnsi="Calibri"/>
        <w:b/>
        <w:bCs/>
        <w:color w:val="1B2A5E"/>
        <w:sz w:val="18"/>
        <w:szCs w:val="18"/>
      </w:rPr>
      <w:t xml:space="preserve">OJMHS </w:t>
    </w:r>
    <w:r>
      <w:rPr>
        <w:rFonts w:ascii="Calibri" w:cs="Calibri" w:eastAsia="Calibri" w:hAnsi="Calibri"/>
        <w:color w:val="C9922A"/>
        <w:sz w:val="18"/>
        <w:szCs w:val="18"/>
      </w:rPr>
      <w:t xml:space="preserve">| Orbis Journal of Medical &amp; Health Sciences  </w:t>
    </w:r>
    <w:r>
      <w:rPr>
        <w:rFonts w:ascii="Calibri" w:cs="Calibri" w:eastAsia="Calibri" w:hAnsi="Calibri"/>
        <w:color w:val="4A4A4A"/>
        <w:sz w:val="18"/>
        <w:szCs w:val="18"/>
      </w:rPr>
      <w:t xml:space="preserve">Vol. 1, Issue 1 · 2026</w:t>
    </w:r>
    <w:r>
      <w:rPr>
        <w:rFonts w:ascii="Calibri" w:cs="Calibri" w:eastAsia="Calibri" w:hAnsi="Calibri"/>
        <w:sz w:val="18"/>
        <w:szCs w:val="18"/>
      </w:rPr>
      <w:t xml:space="preserve">	</w:t>
    </w:r>
    <w:r>
      <w:rPr>
        <w:rFonts w:ascii="Calibri" w:cs="Calibri" w:eastAsia="Calibri" w:hAnsi="Calibri"/>
        <w:i/>
        <w:iCs/>
        <w:color w:val="4A4A4A"/>
        <w:sz w:val="17"/>
        <w:szCs w:val="17"/>
      </w:rPr>
      <w:t xml:space="preserve">Open Access  |  Peer Reviewed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4A4A4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80"/>
      <w:outlineLvl w:val="0"/>
    </w:pPr>
    <w:rPr>
      <w:rFonts w:ascii="Calibri" w:cs="Calibri" w:eastAsia="Calibri" w:hAnsi="Calibri"/>
      <w:b/>
      <w:bCs/>
      <w:color w:val="1B2A5E"/>
      <w:sz w:val="26"/>
      <w:szCs w:val="26"/>
    </w:rPr>
  </w:style>
  <w:style w:type="paragraph" w:styleId="Heading2">
    <w:name w:val="Heading 2"/>
    <w:basedOn w:val="Normal"/>
    <w:next w:val="Normal"/>
    <w:qFormat/>
    <w:pPr>
      <w:spacing w:after="80" w:before="200"/>
      <w:outlineLvl w:val="1"/>
    </w:pPr>
    <w:rPr>
      <w:rFonts w:ascii="Calibri" w:cs="Calibri" w:eastAsia="Calibri" w:hAnsi="Calibri"/>
      <w:b/>
      <w:bCs/>
      <w:color w:val="1B2A5E"/>
      <w:sz w:val="24"/>
      <w:szCs w:val="24"/>
    </w:rPr>
  </w:style>
  <w:style w:type="paragraph" w:styleId="Heading3">
    <w:name w:val="Heading 3"/>
    <w:basedOn w:val="Normal"/>
    <w:next w:val="Normal"/>
    <w:qFormat/>
    <w:pPr>
      <w:spacing w:after="60" w:before="160"/>
      <w:outlineLvl w:val="2"/>
    </w:pPr>
    <w:rPr>
      <w:rFonts w:ascii="Calibri" w:cs="Calibri" w:eastAsia="Calibri" w:hAnsi="Calibri"/>
      <w:b/>
      <w:bCs/>
      <w:i/>
      <w:iCs/>
      <w:color w:val="C9922A"/>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bf160d3c9f76c2f7bc3feb1d2658562aed6cdd93.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2026-06-28T20:31:58.732Z</dcterms:created>
  <dcterms:modified xsi:type="dcterms:W3CDTF">2026-06-28T20:31:58.732Z</dcterms:modified>
</cp:coreProperties>
</file>

<file path=docProps/custom.xml><?xml version="1.0" encoding="utf-8"?>
<Properties xmlns="http://schemas.openxmlformats.org/officeDocument/2006/custom-properties" xmlns:vt="http://schemas.openxmlformats.org/officeDocument/2006/docPropsVTypes"/>
</file>