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jc w:val="center"/>
      </w:pPr>
      <w:r>
        <w:drawing>
          <wp:inline distT="0" distB="0" distL="0" distR="0">
            <wp:extent cx="3429000" cy="1247775"/>
            <wp:effectExtent t="0" r="0" b="0" l="0"/>
            <wp:docPr id="1" name="OJMHSLogo" descr="Orbis Journal logo" title="OJM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429000" cy="1247775"/>
                    </a:xfrm>
                    <a:prstGeom prst="rect">
                      <a:avLst/>
                    </a:prstGeom>
                  </pic:spPr>
                </pic:pic>
              </a:graphicData>
            </a:graphic>
          </wp:inline>
        </w:drawing>
      </w:r>
    </w:p>
    <w:p>
      <w:pPr>
        <w:spacing w:after="60" w:before="0"/>
        <w:jc w:val="center"/>
      </w:pPr>
      <w:r>
        <w:rPr>
          <w:rFonts w:ascii="Calibri" w:cs="Calibri" w:eastAsia="Calibri" w:hAnsi="Calibri"/>
          <w:i/>
          <w:iCs/>
          <w:color w:val="C9922A"/>
          <w:sz w:val="22"/>
          <w:szCs w:val="22"/>
        </w:rPr>
        <w:t xml:space="preserve">Orbis Journal of Medical &amp; Health Sciences</w:t>
      </w:r>
    </w:p>
    <w:p>
      <w:pPr>
        <w:spacing w:after="200" w:before="0"/>
        <w:jc w:val="center"/>
      </w:pPr>
      <w:r>
        <w:rPr>
          <w:rFonts w:ascii="Calibri" w:cs="Calibri" w:eastAsia="Calibri" w:hAnsi="Calibri"/>
          <w:color w:val="4A4A4A"/>
          <w:sz w:val="19"/>
          <w:szCs w:val="19"/>
        </w:rPr>
        <w:t xml:space="preserve">Volume 1  ·  Issue 1  ·  2026  |  Open Access  ·  Peer Reviewed</w:t>
      </w:r>
    </w:p>
    <w:p>
      <w:pPr>
        <w:pBdr>
          <w:bottom w:val="single" w:color="C9922A" w:sz="6" w:space="1"/>
        </w:pBdr>
        <w:spacing w:after="160" w:before="0"/>
      </w:pPr>
    </w:p>
    <w:p>
      <w:pPr>
        <w:spacing w:after="60" w:before="80"/>
      </w:pPr>
      <w:r>
        <w:rPr>
          <w:rFonts w:ascii="Calibri" w:cs="Calibri" w:eastAsia="Calibri" w:hAnsi="Calibri"/>
          <w:b/>
          <w:bCs/>
          <w:caps/>
          <w:color w:val="C9922A"/>
          <w:sz w:val="19"/>
          <w:szCs w:val="19"/>
        </w:rPr>
        <w:t xml:space="preserve">COMPREHENSIVE REVIEW</w:t>
      </w:r>
    </w:p>
    <w:p>
      <w:pPr>
        <w:spacing w:after="200" w:before="0"/>
        <w:jc w:val="left"/>
      </w:pPr>
      <w:r>
        <w:rPr>
          <w:rFonts w:ascii="Calibri" w:cs="Calibri" w:eastAsia="Calibri" w:hAnsi="Calibri"/>
          <w:b/>
          <w:bCs/>
          <w:color w:val="1B2A5E"/>
          <w:sz w:val="34"/>
          <w:szCs w:val="34"/>
        </w:rPr>
        <w:t xml:space="preserve">The Gut Microbiome and Its Role in Human Health and Disease: A Comprehensive Review</w:t>
      </w:r>
    </w:p>
    <w:p>
      <w:pPr>
        <w:spacing w:after="60" w:before="0"/>
      </w:pPr>
      <w:r>
        <w:rPr>
          <w:rFonts w:ascii="Calibri" w:cs="Calibri" w:eastAsia="Calibri" w:hAnsi="Calibri"/>
          <w:b/>
          <w:bCs/>
          <w:color w:val="4A4A4A"/>
          <w:sz w:val="22"/>
          <w:szCs w:val="22"/>
        </w:rPr>
        <w:t xml:space="preserve">Jeremy Mytskevych</w:t>
      </w:r>
    </w:p>
    <w:p>
      <w:pPr>
        <w:spacing w:after="60" w:before="0"/>
      </w:pPr>
      <w:r>
        <w:rPr>
          <w:rFonts w:ascii="Calibri" w:cs="Calibri" w:eastAsia="Calibri" w:hAnsi="Calibri"/>
          <w:i/>
          <w:iCs/>
          <w:color w:val="4A4A4A"/>
          <w:sz w:val="20"/>
          <w:szCs w:val="20"/>
        </w:rPr>
        <w:t xml:space="preserve">International University of the Health Sciences School of Medicine, Arizona State University</w:t>
      </w:r>
    </w:p>
    <w:p>
      <w:pPr>
        <w:spacing w:after="120" w:before="0"/>
      </w:pPr>
      <w:r>
        <w:rPr>
          <w:rFonts w:ascii="Calibri" w:cs="Calibri" w:eastAsia="Calibri" w:hAnsi="Calibri"/>
          <w:b/>
          <w:bCs/>
          <w:color w:val="1B2A5E"/>
          <w:sz w:val="20"/>
          <w:szCs w:val="20"/>
        </w:rPr>
        <w:t xml:space="preserve">ORCID: </w:t>
      </w:r>
      <w:r>
        <w:rPr>
          <w:rFonts w:ascii="Calibri" w:cs="Calibri" w:eastAsia="Calibri" w:hAnsi="Calibri"/>
          <w:color w:val="4A4A4A"/>
          <w:sz w:val="20"/>
          <w:szCs w:val="20"/>
        </w:rPr>
        <w:t xml:space="preserve">0009-0006-2394-6087</w:t>
      </w:r>
    </w:p>
    <w:p>
      <w:pPr>
        <w:pBdr>
          <w:bottom w:val="single" w:color="D0C09A" w:sz="2" w:space="1"/>
        </w:pBdr>
        <w:spacing w:after="120" w:before="0"/>
      </w:pPr>
    </w:p>
    <w:p>
      <w:pPr>
        <w:spacing w:after="30" w:before="30"/>
      </w:pPr>
      <w:r>
        <w:rPr>
          <w:rFonts w:ascii="Calibri" w:cs="Calibri" w:eastAsia="Calibri" w:hAnsi="Calibri"/>
          <w:b/>
          <w:bCs/>
          <w:color w:val="1B2A5E"/>
          <w:sz w:val="20"/>
          <w:szCs w:val="20"/>
        </w:rPr>
        <w:t xml:space="preserve">Received: </w:t>
      </w:r>
      <w:r>
        <w:rPr>
          <w:rFonts w:ascii="Calibri" w:cs="Calibri" w:eastAsia="Calibri" w:hAnsi="Calibri"/>
          <w:color w:val="4A4A4A"/>
          <w:sz w:val="20"/>
          <w:szCs w:val="20"/>
        </w:rPr>
        <w:t xml:space="preserve">June 1, 2026</w:t>
      </w:r>
    </w:p>
    <w:p>
      <w:pPr>
        <w:spacing w:after="30" w:before="30"/>
      </w:pPr>
      <w:r>
        <w:rPr>
          <w:rFonts w:ascii="Calibri" w:cs="Calibri" w:eastAsia="Calibri" w:hAnsi="Calibri"/>
          <w:b/>
          <w:bCs/>
          <w:color w:val="1B2A5E"/>
          <w:sz w:val="20"/>
          <w:szCs w:val="20"/>
        </w:rPr>
        <w:t xml:space="preserve">Accepted: </w:t>
      </w:r>
      <w:r>
        <w:rPr>
          <w:rFonts w:ascii="Calibri" w:cs="Calibri" w:eastAsia="Calibri" w:hAnsi="Calibri"/>
          <w:color w:val="4A4A4A"/>
          <w:sz w:val="20"/>
          <w:szCs w:val="20"/>
        </w:rPr>
        <w:t xml:space="preserve">June 1, 2026</w:t>
      </w:r>
    </w:p>
    <w:p>
      <w:pPr>
        <w:spacing w:after="30" w:before="30"/>
      </w:pPr>
      <w:r>
        <w:rPr>
          <w:rFonts w:ascii="Calibri" w:cs="Calibri" w:eastAsia="Calibri" w:hAnsi="Calibri"/>
          <w:b/>
          <w:bCs/>
          <w:color w:val="1B2A5E"/>
          <w:sz w:val="20"/>
          <w:szCs w:val="20"/>
        </w:rPr>
        <w:t xml:space="preserve">Published: </w:t>
      </w:r>
      <w:r>
        <w:rPr>
          <w:rFonts w:ascii="Calibri" w:cs="Calibri" w:eastAsia="Calibri" w:hAnsi="Calibri"/>
          <w:color w:val="4A4A4A"/>
          <w:sz w:val="20"/>
          <w:szCs w:val="20"/>
        </w:rPr>
        <w:t xml:space="preserve">June 28, 2026</w:t>
      </w:r>
    </w:p>
    <w:p>
      <w:pPr>
        <w:spacing w:after="0" w:before="0"/>
      </w:pPr>
    </w:p>
    <w:p>
      <w:pPr>
        <w:spacing w:after="12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922A" w:sz="4"/>
              <w:left w:val="single" w:color="C9922A" w:sz="4"/>
              <w:bottom w:val="single" w:color="C9922A" w:sz="4"/>
              <w:right w:val="single" w:color="C9922A" w:sz="4"/>
            </w:tcBorders>
            <w:shd w:fill="EFF2F8" w:val="clear"/>
            <w:tcMar>
              <w:top w:type="dxa" w:w="200"/>
              <w:left w:type="dxa" w:w="220"/>
              <w:bottom w:type="dxa" w:w="200"/>
              <w:right w:type="dxa" w:w="220"/>
            </w:tcMar>
          </w:tcPr>
          <w:p>
            <w:pPr>
              <w:spacing w:after="80" w:before="0"/>
            </w:pPr>
            <w:r>
              <w:rPr>
                <w:rFonts w:ascii="Calibri" w:cs="Calibri" w:eastAsia="Calibri" w:hAnsi="Calibri"/>
                <w:b/>
                <w:bCs/>
                <w:caps/>
                <w:color w:val="1B2A5E"/>
                <w:sz w:val="22"/>
                <w:szCs w:val="22"/>
              </w:rPr>
              <w:t xml:space="preserve">ABSTRACT</w:t>
            </w:r>
          </w:p>
          <w:p>
            <w:pPr>
              <w:spacing w:after="0" w:before="0" w:line="268"/>
              <w:jc w:val="both"/>
            </w:pPr>
            <w:r>
              <w:rPr>
                <w:rFonts w:ascii="Georgia" w:cs="Georgia" w:eastAsia="Georgia" w:hAnsi="Georgia"/>
                <w:color w:val="4A4A4A"/>
                <w:sz w:val="21"/>
                <w:szCs w:val="21"/>
              </w:rPr>
              <w:t xml:space="preserve">The gut microbiome — comprising trillions of bacteria, archaea, fungi, viruses, and protozoa — represents one of the most complex and physiologically important ecosystems in the human body. Recent metagenomics, metabolomics, and clinical studies have established the gut microbiome as a major regulator of immune homeostasis, metabolic physiology, neurological function, and host defence against pathogens. This review provides a comprehensive synthesis of the composition and functional characteristics of the gut microbiome, its bidirectional links with human health and key disease categories, and innovative therapeutics targeting the microbiome for clinical applications. PubMed/MEDLINE, Scopus, and Web of Science were searched for peer-reviewed literature from January 2021 to March 2026. Evidence demonstrates that microbial diversity and balance are critical to host health. Dysbiosis — microbial ecosystem imbalance — underlies the pathogenesis of inflammatory bowel disease, metabolic syndrome, type 2 diabetes, cardiovascular disease, neuropsychiatric disease, and multiple cancers. Gut-derived metabolites including short-chain fatty acids, bile acid derivatives, and tryptophan catabolites exert systemic effects through the immune, endocrine, and nervous systems. Evidence for therapeutic benefits of probiotics, prebiotics, synbiotics, dietary interventions, and fecal microbiota transplantation (FMT) is growing. Standardized protocols, longitudinal studies, and precision microbiome medicine frameworks are essential to translate mechanistic insights into clinically validated applications.</w:t>
            </w:r>
          </w:p>
        </w:tc>
      </w:tr>
    </w:tbl>
    <w:p>
      <w:pPr>
        <w:spacing w:after="120" w:before="0"/>
      </w:pPr>
    </w:p>
    <w:p>
      <w:pPr>
        <w:spacing w:after="160" w:before="80"/>
      </w:pPr>
      <w:r>
        <w:rPr>
          <w:rFonts w:ascii="Calibri" w:cs="Calibri" w:eastAsia="Calibri" w:hAnsi="Calibri"/>
          <w:b/>
          <w:bCs/>
          <w:color w:val="1B2A5E"/>
          <w:sz w:val="21"/>
          <w:szCs w:val="21"/>
        </w:rPr>
        <w:t xml:space="preserve">Keywords: </w:t>
      </w:r>
      <w:r>
        <w:rPr>
          <w:rFonts w:ascii="Calibri" w:cs="Calibri" w:eastAsia="Calibri" w:hAnsi="Calibri"/>
          <w:i/>
          <w:iCs/>
          <w:color w:val="4A4A4A"/>
          <w:sz w:val="21"/>
          <w:szCs w:val="21"/>
        </w:rPr>
        <w:t xml:space="preserve">Gut microbiome · Dysbiosis · Intestinal microbiota · Short-chain fatty acids · Gut-brain axis · Fecal microbiota transplantation · Probiotics · Metabolic syndrome · Metagenomics · Immune homeostasis</w:t>
      </w:r>
    </w:p>
    <w:p>
      <w:pPr>
        <w:spacing w:after="200" w:before="0"/>
      </w:pPr>
    </w:p>
    <w:p>
      <w:pPr>
        <w:pStyle w:val="Heading1"/>
        <w:pBdr>
          <w:bottom w:val="single" w:color="C9922A" w:sz="4" w:space="4"/>
        </w:pBdr>
        <w:spacing w:after="120" w:before="280"/>
      </w:pPr>
      <w:r>
        <w:rPr>
          <w:rFonts w:ascii="Calibri" w:cs="Calibri" w:eastAsia="Calibri" w:hAnsi="Calibri"/>
          <w:b/>
          <w:bCs/>
          <w:color w:val="1B2A5E"/>
          <w:sz w:val="26"/>
          <w:szCs w:val="26"/>
        </w:rPr>
        <w:t xml:space="preserve">1. INTRODUCTION</w:t>
      </w:r>
    </w:p>
    <w:p>
      <w:pPr>
        <w:spacing w:after="160" w:before="0" w:line="276"/>
        <w:jc w:val="both"/>
      </w:pPr>
      <w:r>
        <w:rPr>
          <w:rFonts w:ascii="Georgia" w:cs="Georgia" w:eastAsia="Georgia" w:hAnsi="Georgia"/>
          <w:b w:val="false"/>
          <w:bCs w:val="false"/>
          <w:i w:val="false"/>
          <w:iCs w:val="false"/>
          <w:color w:val="4A4A4A"/>
          <w:sz w:val="22"/>
          <w:szCs w:val="22"/>
        </w:rPr>
        <w:t xml:space="preserve">The human gastrointestinal tract harbors an estimated 3.8 × 10¹³ microbial cells — the highest concentration of microorganisms in the human body — with collective genes comprising approximately 150 times that of the human genome. The gut microbiome participates actively in digestion, immune education, gut barrier integrity, xenobiotic metabolism, and synthesis of neurotransmitters and vitamins. Many factors influence gut microbiome composition, including genetics, gestational age and delivery method, early-life feeding habits, diet, physical activity, pharmaceutical exposure (particularly antibiotics), geographic location, and ageing.</w:t>
      </w:r>
    </w:p>
    <w:p>
      <w:pPr>
        <w:spacing w:after="160" w:before="0" w:line="276"/>
        <w:jc w:val="both"/>
      </w:pPr>
      <w:r>
        <w:rPr>
          <w:rFonts w:ascii="Georgia" w:cs="Georgia" w:eastAsia="Georgia" w:hAnsi="Georgia"/>
          <w:b w:val="false"/>
          <w:bCs w:val="false"/>
          <w:i w:val="false"/>
          <w:iCs w:val="false"/>
          <w:color w:val="4A4A4A"/>
          <w:sz w:val="22"/>
          <w:szCs w:val="22"/>
        </w:rPr>
        <w:t xml:space="preserve">Advances in next-generation sequencing — including 16S rRNA amplicon sequencing and whole-genome shotgun (WGS) metagenomics — have provided unprecedented resolution in characterizing microbial community structure, function, and dynamics. Integration with metabolomics has generated a new understanding of microbiome-host interaction. These methodological advances have linked microbiome composition to inflammatory bowel disease, obesity, depression, autism spectrum disorder, and colorectal cancer, among other conditions. Establishing causality, standardizing methods, and translating research into clinically validated interventions represent the principal remaining challenges.</w:t>
      </w:r>
    </w:p>
    <w:p>
      <w:pPr>
        <w:pStyle w:val="Heading1"/>
        <w:pBdr>
          <w:bottom w:val="single" w:color="C9922A" w:sz="4" w:space="4"/>
        </w:pBdr>
        <w:spacing w:after="120" w:before="280"/>
      </w:pPr>
      <w:r>
        <w:rPr>
          <w:rFonts w:ascii="Calibri" w:cs="Calibri" w:eastAsia="Calibri" w:hAnsi="Calibri"/>
          <w:b/>
          <w:bCs/>
          <w:color w:val="1B2A5E"/>
          <w:sz w:val="26"/>
          <w:szCs w:val="26"/>
        </w:rPr>
        <w:t xml:space="preserve">2. REVIEW METHODOLOGY</w:t>
      </w:r>
    </w:p>
    <w:p>
      <w:pPr>
        <w:spacing w:after="160" w:before="0" w:line="276"/>
        <w:jc w:val="both"/>
      </w:pPr>
      <w:r>
        <w:rPr>
          <w:rFonts w:ascii="Georgia" w:cs="Georgia" w:eastAsia="Georgia" w:hAnsi="Georgia"/>
          <w:b w:val="false"/>
          <w:bCs w:val="false"/>
          <w:i w:val="false"/>
          <w:iCs w:val="false"/>
          <w:color w:val="4A4A4A"/>
          <w:sz w:val="22"/>
          <w:szCs w:val="22"/>
        </w:rPr>
        <w:t xml:space="preserve">A comprehensive narrative review was conducted using PubMed/MEDLINE, Scopus, and Web of Science for peer-reviewed English-language publications from January 2021 to March 2026. Boolean searches included: "gut microbiome AND human health," "intestinal dysbiosis AND disease," "gut microbiota AND metabolism," "short-chain fatty acids AND immunity," "gut-brain axis AND mental health," "fecal microbiota transplantation AND clinical trial," and "microbiome AND cancer." Inclusion required exploration of gut microbiome composition, function, or therapeutic modulation with clear human relevance. Quality assessment utilized the Cochrane Risk of Bias Tool 2.0 for RCTs and the Newcastle–Ottawa Scale for observational studies. The evidence base encompasses 44 primary references alongside landmark consensus guidelines from the World Gastroenterology Organization and ISAPP.</w:t>
      </w:r>
    </w:p>
    <w:p>
      <w:pPr>
        <w:pStyle w:val="Heading1"/>
        <w:pBdr>
          <w:bottom w:val="single" w:color="C9922A" w:sz="4" w:space="4"/>
        </w:pBdr>
        <w:spacing w:after="120" w:before="280"/>
      </w:pPr>
      <w:r>
        <w:rPr>
          <w:rFonts w:ascii="Calibri" w:cs="Calibri" w:eastAsia="Calibri" w:hAnsi="Calibri"/>
          <w:b/>
          <w:bCs/>
          <w:color w:val="1B2A5E"/>
          <w:sz w:val="26"/>
          <w:szCs w:val="26"/>
        </w:rPr>
        <w:t xml:space="preserve">3. COMPOSITION AND FUNCTIONAL ARCHITECTURE OF THE GUT MICROBIOME</w:t>
      </w:r>
    </w:p>
    <w:p>
      <w:pPr>
        <w:pStyle w:val="Heading2"/>
        <w:spacing w:after="80" w:before="200"/>
      </w:pPr>
      <w:r>
        <w:rPr>
          <w:rFonts w:ascii="Calibri" w:cs="Calibri" w:eastAsia="Calibri" w:hAnsi="Calibri"/>
          <w:b/>
          <w:bCs/>
          <w:color w:val="1B2A5E"/>
          <w:sz w:val="24"/>
          <w:szCs w:val="24"/>
        </w:rPr>
        <w:t xml:space="preserve">3.1 Microbial Community Structure and Diversity</w:t>
      </w:r>
    </w:p>
    <w:p>
      <w:pPr>
        <w:spacing w:after="160" w:before="0" w:line="276"/>
        <w:jc w:val="both"/>
      </w:pPr>
      <w:r>
        <w:rPr>
          <w:rFonts w:ascii="Georgia" w:cs="Georgia" w:eastAsia="Georgia" w:hAnsi="Georgia"/>
          <w:b w:val="false"/>
          <w:bCs w:val="false"/>
          <w:i w:val="false"/>
          <w:iCs w:val="false"/>
          <w:color w:val="4A4A4A"/>
          <w:sz w:val="22"/>
          <w:szCs w:val="22"/>
        </w:rPr>
        <w:t xml:space="preserve">Alpha diversity (species richness and evenness) and beta diversity (compositional differences between individuals) are key ecological metrics of the adult gut microbiome. High alpha diversity is consistently associated with favorable health outcomes, while low alpha diversity characterizes dysbiosis linked to chronic disease (Wastyk et al., 2021). The Firmicutes/Bacteroidetes (F/B) ratio has been proposed as a surrogate marker for metabolic health, with higher ratios observed in obesity and type 2 diabetes, though its specificity as a clinical marker remains debated.</w:t>
      </w:r>
    </w:p>
    <w:p>
      <w:pPr>
        <w:spacing w:after="160" w:before="0" w:line="276"/>
        <w:jc w:val="both"/>
      </w:pPr>
      <w:r>
        <w:rPr>
          <w:rFonts w:ascii="Georgia" w:cs="Georgia" w:eastAsia="Georgia" w:hAnsi="Georgia"/>
          <w:b w:val="false"/>
          <w:bCs w:val="false"/>
          <w:i w:val="false"/>
          <w:iCs w:val="false"/>
          <w:color w:val="4A4A4A"/>
          <w:sz w:val="22"/>
          <w:szCs w:val="22"/>
        </w:rPr>
        <w:t xml:space="preserve">The gut microbiome undergoes significant compositional change throughout life. In early infancy, the microbiome is dominated by Bifidobacterium species, especially in breastfed infants given the selective fermentation of human milk oligosaccharides. Diversity increases during the first years of life and reaches a relatively stable adult configuration by age 3–5. Ageing is associated with declining microbial diversity, increased pro-inflammatory Proteobacteria, and decreased health-promoting taxa such as Faecalibacterium prausnitzii and Akkermansia muciniphila, contributing to the chronic low-grade inflammation characteristic of immunosenescence.</w:t>
      </w:r>
    </w:p>
    <w:p>
      <w:pPr>
        <w:pStyle w:val="Heading2"/>
        <w:spacing w:after="80" w:before="200"/>
      </w:pPr>
      <w:r>
        <w:rPr>
          <w:rFonts w:ascii="Calibri" w:cs="Calibri" w:eastAsia="Calibri" w:hAnsi="Calibri"/>
          <w:b/>
          <w:bCs/>
          <w:color w:val="1B2A5E"/>
          <w:sz w:val="24"/>
          <w:szCs w:val="24"/>
        </w:rPr>
        <w:t xml:space="preserve">3.2 Key Microbial Metabolites and Functional Outputs</w:t>
      </w:r>
    </w:p>
    <w:p>
      <w:pPr>
        <w:spacing w:after="160" w:before="0" w:line="276"/>
        <w:jc w:val="both"/>
      </w:pPr>
      <w:r>
        <w:rPr>
          <w:rFonts w:ascii="Georgia" w:cs="Georgia" w:eastAsia="Georgia" w:hAnsi="Georgia"/>
          <w:b w:val="false"/>
          <w:bCs w:val="false"/>
          <w:i w:val="false"/>
          <w:iCs w:val="false"/>
          <w:color w:val="4A4A4A"/>
          <w:sz w:val="22"/>
          <w:szCs w:val="22"/>
        </w:rPr>
        <w:t xml:space="preserve">Anaerobic fermentation of dietary fiber and resistant starch by colonic bacteria yields short-chain fatty acids (SCFAs) — primarily acetate, propionate, and butyrate. Butyrate is the main energy substrate of colonocytes, maintains epithelial barrier integrity, and exerts potent anti-inflammatory and epigenetic regulatory effects through inhibition of histone deacetylases (HDACs). The gut microbiome also extensively biotransforms primary bile acids into secondary bile acids through bile salt hydrolase-producing bacteria; secondary bile acids act as potent signaling molecules modulating cholesterol homeostasis, glucose metabolism, and immune cell polarization. Trimethylamine-N-oxide (TMAO), derived from microbiome metabolism of dietary choline and carnitine, demonstrates strong associations with cardiovascular risk.</w:t>
      </w:r>
    </w:p>
    <w:p>
      <w:pPr>
        <w:pStyle w:val="Heading1"/>
        <w:pBdr>
          <w:bottom w:val="single" w:color="C9922A" w:sz="4" w:space="4"/>
        </w:pBdr>
        <w:spacing w:after="120" w:before="280"/>
      </w:pPr>
      <w:r>
        <w:rPr>
          <w:rFonts w:ascii="Calibri" w:cs="Calibri" w:eastAsia="Calibri" w:hAnsi="Calibri"/>
          <w:b/>
          <w:bCs/>
          <w:color w:val="1B2A5E"/>
          <w:sz w:val="26"/>
          <w:szCs w:val="26"/>
        </w:rPr>
        <w:t xml:space="preserve">4. THE GUT MICROBIOME IN HUMAN DISEASE</w:t>
      </w:r>
    </w:p>
    <w:p>
      <w:pPr>
        <w:pStyle w:val="Heading2"/>
        <w:spacing w:after="80" w:before="200"/>
      </w:pPr>
      <w:r>
        <w:rPr>
          <w:rFonts w:ascii="Calibri" w:cs="Calibri" w:eastAsia="Calibri" w:hAnsi="Calibri"/>
          <w:b/>
          <w:bCs/>
          <w:color w:val="1B2A5E"/>
          <w:sz w:val="24"/>
          <w:szCs w:val="24"/>
        </w:rPr>
        <w:t xml:space="preserve">4.1 Inflammatory Bowel Disease</w:t>
      </w:r>
    </w:p>
    <w:p>
      <w:pPr>
        <w:spacing w:after="160" w:before="0" w:line="276"/>
        <w:jc w:val="both"/>
      </w:pPr>
      <w:r>
        <w:rPr>
          <w:rFonts w:ascii="Georgia" w:cs="Georgia" w:eastAsia="Georgia" w:hAnsi="Georgia"/>
          <w:b w:val="false"/>
          <w:bCs w:val="false"/>
          <w:i w:val="false"/>
          <w:iCs w:val="false"/>
          <w:color w:val="4A4A4A"/>
          <w:sz w:val="22"/>
          <w:szCs w:val="22"/>
        </w:rPr>
        <w:t xml:space="preserve">IBD (Crohn's disease and ulcerative colitis) represents the most well-studied disease state linked to gut microbial dysbiosis. IBD patients consistently demonstrate lower microbial diversity, decreased abundance of anti-inflammatory SCFA-producing bacteria (Faecalibacterium prausnitzii, Roseburia hominis), and increased mucosa-adherent Proteobacteria including adherent-invasive E. coli (AIEC) strains. Dysbiosis contributes to IBD pathogenesis through impaired epithelial barrier function, loss of tolerance toward commensal antigens, and increased activation of innate and adaptive immune responses. Decreased butyrate production reduces colonocyte energy supply and tight junction protein expression, promoting microbial antigen translocation into the lamina propria.</w:t>
      </w:r>
    </w:p>
    <w:p>
      <w:pPr>
        <w:pStyle w:val="Heading2"/>
        <w:spacing w:after="80" w:before="200"/>
      </w:pPr>
      <w:r>
        <w:rPr>
          <w:rFonts w:ascii="Calibri" w:cs="Calibri" w:eastAsia="Calibri" w:hAnsi="Calibri"/>
          <w:b/>
          <w:bCs/>
          <w:color w:val="1B2A5E"/>
          <w:sz w:val="24"/>
          <w:szCs w:val="24"/>
        </w:rPr>
        <w:t xml:space="preserve">4.2 Metabolic Syndrome, Obesity, and Type 2 Diabetes</w:t>
      </w:r>
    </w:p>
    <w:p>
      <w:pPr>
        <w:spacing w:after="160" w:before="0" w:line="276"/>
        <w:jc w:val="both"/>
      </w:pPr>
      <w:r>
        <w:rPr>
          <w:rFonts w:ascii="Georgia" w:cs="Georgia" w:eastAsia="Georgia" w:hAnsi="Georgia"/>
          <w:b w:val="false"/>
          <w:bCs w:val="false"/>
          <w:i w:val="false"/>
          <w:iCs w:val="false"/>
          <w:color w:val="4A4A4A"/>
          <w:sz w:val="22"/>
          <w:szCs w:val="22"/>
        </w:rPr>
        <w:t xml:space="preserve">Landmark germ-free mouse studies established that microbiota from obese humans caused significantly greater fat accumulation and metabolic dysfunction than microbiota from lean donors, providing causal evidence for a microbiota-metabolic phenotype link. Metagenomic analysis of T2DM reveals consistent depletion of butyrate-producing bacteria and enrichment of opportunistic pathogens. Metabolic endotoxaemia — elevated circulating lipopolysaccharide (LPS) from increased gut permeability — activates TLR4 signaling, causing systemic low-grade inflammation and insulin receptor substrate phosphorylation-mediated insulin resistance. Pasteurised Akkermansia muciniphila has been shown to significantly improve insulin sensitivity, plasma lipid profiles, and gut barrier function in overweight humans.</w:t>
      </w:r>
    </w:p>
    <w:p>
      <w:pPr>
        <w:pStyle w:val="Heading2"/>
        <w:spacing w:after="80" w:before="200"/>
      </w:pPr>
      <w:r>
        <w:rPr>
          <w:rFonts w:ascii="Calibri" w:cs="Calibri" w:eastAsia="Calibri" w:hAnsi="Calibri"/>
          <w:b/>
          <w:bCs/>
          <w:color w:val="1B2A5E"/>
          <w:sz w:val="24"/>
          <w:szCs w:val="24"/>
        </w:rPr>
        <w:t xml:space="preserve">4.3 The Gut-Brain Axis and Neuropsychiatric Disorders</w:t>
      </w:r>
    </w:p>
    <w:p>
      <w:pPr>
        <w:spacing w:after="160" w:before="0" w:line="276"/>
        <w:jc w:val="both"/>
      </w:pPr>
      <w:r>
        <w:rPr>
          <w:rFonts w:ascii="Georgia" w:cs="Georgia" w:eastAsia="Georgia" w:hAnsi="Georgia"/>
          <w:b w:val="false"/>
          <w:bCs w:val="false"/>
          <w:i w:val="false"/>
          <w:iCs w:val="false"/>
          <w:color w:val="4A4A4A"/>
          <w:sz w:val="22"/>
          <w:szCs w:val="22"/>
        </w:rPr>
        <w:t xml:space="preserve">The bidirectional gut-brain communication network operates through neural (vagus nerve), endocrine (HPA axis, enteroendocrine cells), immune (cytokine signaling), and metabolic (SCFAs, neurotransmitters) pathways. Gut dysbiosis has been linked to major depressive disorder, anxiety, autism spectrum disorder, and Parkinson's disease. The gut microbiome is responsible for approximately 90% of systemic serotonin, produced by enterochromaffin cells activated by microbial tryptophan catabolites. In Parkinson's disease, constipation and gut dysbiosis precede motor symptoms by years, and α-synuclein aggregation — the pathological hallmark — is found in enteric neurons, supporting a gut-to-brain prion-like propagation mechanism.</w:t>
      </w:r>
    </w:p>
    <w:p>
      <w:pPr>
        <w:pStyle w:val="Heading2"/>
        <w:spacing w:after="80" w:before="200"/>
      </w:pPr>
      <w:r>
        <w:rPr>
          <w:rFonts w:ascii="Calibri" w:cs="Calibri" w:eastAsia="Calibri" w:hAnsi="Calibri"/>
          <w:b/>
          <w:bCs/>
          <w:color w:val="1B2A5E"/>
          <w:sz w:val="24"/>
          <w:szCs w:val="24"/>
        </w:rPr>
        <w:t xml:space="preserve">4.4 Colorectal Cancer and Oncological Implications</w:t>
      </w:r>
    </w:p>
    <w:p>
      <w:pPr>
        <w:spacing w:after="160" w:before="0" w:line="276"/>
        <w:jc w:val="both"/>
      </w:pPr>
      <w:r>
        <w:rPr>
          <w:rFonts w:ascii="Georgia" w:cs="Georgia" w:eastAsia="Georgia" w:hAnsi="Georgia"/>
          <w:b w:val="false"/>
          <w:bCs w:val="false"/>
          <w:i w:val="false"/>
          <w:iCs w:val="false"/>
          <w:color w:val="4A4A4A"/>
          <w:sz w:val="22"/>
          <w:szCs w:val="22"/>
        </w:rPr>
        <w:t xml:space="preserve">Fusobacterium nucleatum is enriched in CRC tumor tissue, where it activates oncogenic Wnt/β-catenin and NF-κB signaling and inhibits anti-tumor immune responses. Metagenomic CRC signature models using microbial abundance features achieve AUC values of 0.79–0.87, suggesting potential as a non-invasive stool-based CRC diagnostic biomarker. Gut microbiome composition also impacts immunotherapy outcomes across cancer types: Faecalibacterium prausnitzii, Akkermansia muciniphila, and Bifidobacterium longum are enriched in anti-PD-1/PD-L1 responders, while Fusobacterium species are associated with non-response. Clinical trials investigating FMT to sensitize checkpoint inhibitor non-responders have shown partial regression of treatment resistance in melanoma and NSCLC.</w:t>
      </w:r>
    </w:p>
    <w:p>
      <w:pPr>
        <w:spacing w:after="8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2000"/>
        <w:gridCol w:w="2200"/>
        <w:gridCol w:w="1900"/>
        <w:gridCol w:w="1560"/>
      </w:tblGrid>
      <w:tr>
        <w:trPr>
          <w:tblHeader/>
        </w:trPr>
        <w:tc>
          <w:tcPr>
            <w:tcW w:type="dxa" w:w="1700"/>
            <w:tcBorders>
              <w:top w:val="single" w:color="FFFFFF" w:sz="2"/>
              <w:left w:val="single" w:color="FFFFFF" w:sz="2"/>
              <w:bottom w:val="single" w:color="FFFFFF" w:sz="2"/>
              <w:right w:val="single" w:color="FFFFFF" w:sz="2"/>
            </w:tcBorders>
            <w:shd w:fill="1B2A5E" w:val="clear"/>
            <w:tcMar>
              <w:top w:type="dxa" w:w="60"/>
              <w:left w:type="dxa" w:w="100"/>
              <w:bottom w:type="dxa" w:w="60"/>
              <w:right w:type="dxa" w:w="100"/>
            </w:tcMar>
          </w:tcPr>
          <w:p>
            <w:r>
              <w:rPr>
                <w:rFonts w:ascii="Calibri" w:cs="Calibri" w:eastAsia="Calibri" w:hAnsi="Calibri"/>
                <w:b/>
                <w:bCs/>
                <w:color w:val="FFFFFF"/>
                <w:sz w:val="19"/>
                <w:szCs w:val="19"/>
              </w:rPr>
              <w:t xml:space="preserve">Disease</w:t>
            </w:r>
          </w:p>
        </w:tc>
        <w:tc>
          <w:tcPr>
            <w:tcW w:type="dxa" w:w="2000"/>
            <w:tcBorders>
              <w:top w:val="single" w:color="FFFFFF" w:sz="2"/>
              <w:left w:val="single" w:color="FFFFFF" w:sz="2"/>
              <w:bottom w:val="single" w:color="FFFFFF" w:sz="2"/>
              <w:right w:val="single" w:color="FFFFFF" w:sz="2"/>
            </w:tcBorders>
            <w:shd w:fill="1B2A5E" w:val="clear"/>
            <w:tcMar>
              <w:top w:type="dxa" w:w="60"/>
              <w:left w:type="dxa" w:w="100"/>
              <w:bottom w:type="dxa" w:w="60"/>
              <w:right w:type="dxa" w:w="100"/>
            </w:tcMar>
          </w:tcPr>
          <w:p>
            <w:r>
              <w:rPr>
                <w:rFonts w:ascii="Calibri" w:cs="Calibri" w:eastAsia="Calibri" w:hAnsi="Calibri"/>
                <w:b/>
                <w:bCs/>
                <w:color w:val="FFFFFF"/>
                <w:sz w:val="19"/>
                <w:szCs w:val="19"/>
              </w:rPr>
              <w:t xml:space="preserve">Dysbiotic Signature</w:t>
            </w:r>
          </w:p>
        </w:tc>
        <w:tc>
          <w:tcPr>
            <w:tcW w:type="dxa" w:w="2200"/>
            <w:tcBorders>
              <w:top w:val="single" w:color="FFFFFF" w:sz="2"/>
              <w:left w:val="single" w:color="FFFFFF" w:sz="2"/>
              <w:bottom w:val="single" w:color="FFFFFF" w:sz="2"/>
              <w:right w:val="single" w:color="FFFFFF" w:sz="2"/>
            </w:tcBorders>
            <w:shd w:fill="1B2A5E" w:val="clear"/>
            <w:tcMar>
              <w:top w:type="dxa" w:w="60"/>
              <w:left w:type="dxa" w:w="100"/>
              <w:bottom w:type="dxa" w:w="60"/>
              <w:right w:type="dxa" w:w="100"/>
            </w:tcMar>
          </w:tcPr>
          <w:p>
            <w:r>
              <w:rPr>
                <w:rFonts w:ascii="Calibri" w:cs="Calibri" w:eastAsia="Calibri" w:hAnsi="Calibri"/>
                <w:b/>
                <w:bCs/>
                <w:color w:val="FFFFFF"/>
                <w:sz w:val="19"/>
                <w:szCs w:val="19"/>
              </w:rPr>
              <w:t xml:space="preserve">Key Mechanism</w:t>
            </w:r>
          </w:p>
        </w:tc>
        <w:tc>
          <w:tcPr>
            <w:tcW w:type="dxa" w:w="1900"/>
            <w:tcBorders>
              <w:top w:val="single" w:color="FFFFFF" w:sz="2"/>
              <w:left w:val="single" w:color="FFFFFF" w:sz="2"/>
              <w:bottom w:val="single" w:color="FFFFFF" w:sz="2"/>
              <w:right w:val="single" w:color="FFFFFF" w:sz="2"/>
            </w:tcBorders>
            <w:shd w:fill="1B2A5E" w:val="clear"/>
            <w:tcMar>
              <w:top w:type="dxa" w:w="60"/>
              <w:left w:type="dxa" w:w="100"/>
              <w:bottom w:type="dxa" w:w="60"/>
              <w:right w:type="dxa" w:w="100"/>
            </w:tcMar>
          </w:tcPr>
          <w:p>
            <w:r>
              <w:rPr>
                <w:rFonts w:ascii="Calibri" w:cs="Calibri" w:eastAsia="Calibri" w:hAnsi="Calibri"/>
                <w:b/>
                <w:bCs/>
                <w:color w:val="FFFFFF"/>
                <w:sz w:val="19"/>
                <w:szCs w:val="19"/>
              </w:rPr>
              <w:t xml:space="preserve">Key Metabolite/Mediator</w:t>
            </w:r>
          </w:p>
        </w:tc>
        <w:tc>
          <w:tcPr>
            <w:tcW w:type="dxa" w:w="1560"/>
            <w:tcBorders>
              <w:top w:val="single" w:color="FFFFFF" w:sz="2"/>
              <w:left w:val="single" w:color="FFFFFF" w:sz="2"/>
              <w:bottom w:val="single" w:color="FFFFFF" w:sz="2"/>
              <w:right w:val="single" w:color="FFFFFF" w:sz="2"/>
            </w:tcBorders>
            <w:shd w:fill="1B2A5E" w:val="clear"/>
            <w:tcMar>
              <w:top w:type="dxa" w:w="60"/>
              <w:left w:type="dxa" w:w="100"/>
              <w:bottom w:type="dxa" w:w="60"/>
              <w:right w:type="dxa" w:w="100"/>
            </w:tcMar>
          </w:tcPr>
          <w:p>
            <w:r>
              <w:rPr>
                <w:rFonts w:ascii="Calibri" w:cs="Calibri" w:eastAsia="Calibri" w:hAnsi="Calibri"/>
                <w:b/>
                <w:bCs/>
                <w:color w:val="FFFFFF"/>
                <w:sz w:val="19"/>
                <w:szCs w:val="19"/>
              </w:rPr>
              <w:t xml:space="preserve">Reference</w:t>
            </w:r>
          </w:p>
        </w:tc>
      </w:tr>
      <w:tr>
        <w:tc>
          <w:tcPr>
            <w:tcW w:type="dxa" w:w="17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8"/>
                <w:szCs w:val="18"/>
              </w:rPr>
              <w:t xml:space="preserve">Inflammatory Bowel Disease</w:t>
            </w:r>
          </w:p>
        </w:tc>
        <w:tc>
          <w:tcPr>
            <w:tcW w:type="dxa" w:w="20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8"/>
                <w:szCs w:val="18"/>
              </w:rPr>
              <w:t xml:space="preserve">↓ F. prausnitzii, ↑ AIEC, ↓ diversity</w:t>
            </w:r>
          </w:p>
        </w:tc>
        <w:tc>
          <w:tcPr>
            <w:tcW w:type="dxa" w:w="22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8"/>
                <w:szCs w:val="18"/>
              </w:rPr>
              <w:t xml:space="preserve">Impaired barrier, TLR activation, Th17/Treg imbalance</w:t>
            </w:r>
          </w:p>
        </w:tc>
        <w:tc>
          <w:tcPr>
            <w:tcW w:type="dxa" w:w="19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8"/>
                <w:szCs w:val="18"/>
              </w:rPr>
              <w:t xml:space="preserve">↓ Butyrate, ↑ LPS</w:t>
            </w:r>
          </w:p>
        </w:tc>
        <w:tc>
          <w:tcPr>
            <w:tcW w:type="dxa" w:w="156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8"/>
                <w:szCs w:val="18"/>
              </w:rPr>
              <w:t xml:space="preserve">Dahl et al., 2021</w:t>
            </w:r>
          </w:p>
        </w:tc>
      </w:tr>
      <w:tr>
        <w:tc>
          <w:tcPr>
            <w:tcW w:type="dxa" w:w="170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8"/>
                <w:szCs w:val="18"/>
              </w:rPr>
              <w:t xml:space="preserve">Obesity / Metabolic Syndrome</w:t>
            </w:r>
          </w:p>
        </w:tc>
        <w:tc>
          <w:tcPr>
            <w:tcW w:type="dxa" w:w="200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8"/>
                <w:szCs w:val="18"/>
              </w:rPr>
              <w:t xml:space="preserve">↑ F/B ratio, ↓ Akkermansia muciniphila</w:t>
            </w:r>
          </w:p>
        </w:tc>
        <w:tc>
          <w:tcPr>
            <w:tcW w:type="dxa" w:w="220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8"/>
                <w:szCs w:val="18"/>
              </w:rPr>
              <w:t xml:space="preserve">Energy harvesting, endotoxaemia, insulin resistance</w:t>
            </w:r>
          </w:p>
        </w:tc>
        <w:tc>
          <w:tcPr>
            <w:tcW w:type="dxa" w:w="190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8"/>
                <w:szCs w:val="18"/>
              </w:rPr>
              <w:t xml:space="preserve">↑ TMAO, ↑ LPS, ↓ SCFAs</w:t>
            </w:r>
          </w:p>
        </w:tc>
        <w:tc>
          <w:tcPr>
            <w:tcW w:type="dxa" w:w="156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8"/>
                <w:szCs w:val="18"/>
              </w:rPr>
              <w:t xml:space="preserve">Plovier et al., 2021</w:t>
            </w:r>
          </w:p>
        </w:tc>
      </w:tr>
      <w:tr>
        <w:tc>
          <w:tcPr>
            <w:tcW w:type="dxa" w:w="17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8"/>
                <w:szCs w:val="18"/>
              </w:rPr>
              <w:t xml:space="preserve">Type 2 Diabetes</w:t>
            </w:r>
          </w:p>
        </w:tc>
        <w:tc>
          <w:tcPr>
            <w:tcW w:type="dxa" w:w="20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8"/>
                <w:szCs w:val="18"/>
              </w:rPr>
              <w:t xml:space="preserve">↓ Roseburia, ↓ Bifidobacterium, ↑ Clostridium</w:t>
            </w:r>
          </w:p>
        </w:tc>
        <w:tc>
          <w:tcPr>
            <w:tcW w:type="dxa" w:w="22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8"/>
                <w:szCs w:val="18"/>
              </w:rPr>
              <w:t xml:space="preserve">TLR4-mediated insulin resistance, β-cell inflammation</w:t>
            </w:r>
          </w:p>
        </w:tc>
        <w:tc>
          <w:tcPr>
            <w:tcW w:type="dxa" w:w="19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8"/>
                <w:szCs w:val="18"/>
              </w:rPr>
              <w:t xml:space="preserve">↑ LPS, ↓ Propionate</w:t>
            </w:r>
          </w:p>
        </w:tc>
        <w:tc>
          <w:tcPr>
            <w:tcW w:type="dxa" w:w="156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8"/>
                <w:szCs w:val="18"/>
              </w:rPr>
              <w:t xml:space="preserve">Molinaro et al., 2023</w:t>
            </w:r>
          </w:p>
        </w:tc>
      </w:tr>
      <w:tr>
        <w:tc>
          <w:tcPr>
            <w:tcW w:type="dxa" w:w="170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8"/>
                <w:szCs w:val="18"/>
              </w:rPr>
              <w:t xml:space="preserve">Major Depression / Anxiety</w:t>
            </w:r>
          </w:p>
        </w:tc>
        <w:tc>
          <w:tcPr>
            <w:tcW w:type="dxa" w:w="200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8"/>
                <w:szCs w:val="18"/>
              </w:rPr>
              <w:t xml:space="preserve">↓ Lactobacillus, ↓ Bifidobacterium, ↑ Proteobacteria</w:t>
            </w:r>
          </w:p>
        </w:tc>
        <w:tc>
          <w:tcPr>
            <w:tcW w:type="dxa" w:w="220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8"/>
                <w:szCs w:val="18"/>
              </w:rPr>
              <w:t xml:space="preserve">HPA dysregulation, ↓ serotonin precursors</w:t>
            </w:r>
          </w:p>
        </w:tc>
        <w:tc>
          <w:tcPr>
            <w:tcW w:type="dxa" w:w="190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8"/>
                <w:szCs w:val="18"/>
              </w:rPr>
              <w:t xml:space="preserve">↓ Tryptophan/indoles, ↑ cortisol</w:t>
            </w:r>
          </w:p>
        </w:tc>
        <w:tc>
          <w:tcPr>
            <w:tcW w:type="dxa" w:w="156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8"/>
                <w:szCs w:val="18"/>
              </w:rPr>
              <w:t xml:space="preserve">Valles-Colomer et al., 2021</w:t>
            </w:r>
          </w:p>
        </w:tc>
      </w:tr>
      <w:tr>
        <w:tc>
          <w:tcPr>
            <w:tcW w:type="dxa" w:w="17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8"/>
                <w:szCs w:val="18"/>
              </w:rPr>
              <w:t xml:space="preserve">Colorectal Cancer</w:t>
            </w:r>
          </w:p>
        </w:tc>
        <w:tc>
          <w:tcPr>
            <w:tcW w:type="dxa" w:w="20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8"/>
                <w:szCs w:val="18"/>
              </w:rPr>
              <w:t xml:space="preserve">↑ F. nucleatum, ↑ ETBF, ↓ diversity</w:t>
            </w:r>
          </w:p>
        </w:tc>
        <w:tc>
          <w:tcPr>
            <w:tcW w:type="dxa" w:w="22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8"/>
                <w:szCs w:val="18"/>
              </w:rPr>
              <w:t xml:space="preserve">Wnt/β-catenin, NF-κB, immune evasion</w:t>
            </w:r>
          </w:p>
        </w:tc>
        <w:tc>
          <w:tcPr>
            <w:tcW w:type="dxa" w:w="19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8"/>
                <w:szCs w:val="18"/>
              </w:rPr>
              <w:t xml:space="preserve">Fragilysin, butyrate depletion</w:t>
            </w:r>
          </w:p>
        </w:tc>
        <w:tc>
          <w:tcPr>
            <w:tcW w:type="dxa" w:w="156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8"/>
                <w:szCs w:val="18"/>
              </w:rPr>
              <w:t xml:space="preserve">Wirbel et al., 2021</w:t>
            </w:r>
          </w:p>
        </w:tc>
      </w:tr>
      <w:tr>
        <w:tc>
          <w:tcPr>
            <w:tcW w:type="dxa" w:w="170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8"/>
                <w:szCs w:val="18"/>
              </w:rPr>
              <w:t xml:space="preserve">Cardiovascular Disease</w:t>
            </w:r>
          </w:p>
        </w:tc>
        <w:tc>
          <w:tcPr>
            <w:tcW w:type="dxa" w:w="200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8"/>
                <w:szCs w:val="18"/>
              </w:rPr>
              <w:t xml:space="preserve">↑ TMAO-producing taxa, ↓ F. prausnitzii</w:t>
            </w:r>
          </w:p>
        </w:tc>
        <w:tc>
          <w:tcPr>
            <w:tcW w:type="dxa" w:w="220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8"/>
                <w:szCs w:val="18"/>
              </w:rPr>
              <w:t xml:space="preserve">TMAO-mediated platelet hyperreactivity, atherosclerosis</w:t>
            </w:r>
          </w:p>
        </w:tc>
        <w:tc>
          <w:tcPr>
            <w:tcW w:type="dxa" w:w="190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8"/>
                <w:szCs w:val="18"/>
              </w:rPr>
              <w:t xml:space="preserve">↑ TMAO, ↑ LPS, altered bile acids</w:t>
            </w:r>
          </w:p>
        </w:tc>
        <w:tc>
          <w:tcPr>
            <w:tcW w:type="dxa" w:w="156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8"/>
                <w:szCs w:val="18"/>
              </w:rPr>
              <w:t xml:space="preserve">Koeth et al., 2021</w:t>
            </w:r>
          </w:p>
        </w:tc>
      </w:tr>
    </w:tbl>
    <w:p>
      <w:pPr>
        <w:spacing w:after="160" w:before="60"/>
      </w:pPr>
      <w:r>
        <w:rPr>
          <w:rFonts w:ascii="Calibri" w:cs="Calibri" w:eastAsia="Calibri" w:hAnsi="Calibri"/>
          <w:i/>
          <w:iCs/>
          <w:color w:val="4A4A4A"/>
          <w:sz w:val="19"/>
          <w:szCs w:val="19"/>
        </w:rPr>
        <w:t xml:space="preserve">Table 1. Key Gut Microbiome–Disease Associations and Mechanistic Pathways.</w:t>
      </w:r>
    </w:p>
    <w:p>
      <w:pPr>
        <w:pStyle w:val="Heading1"/>
        <w:pBdr>
          <w:bottom w:val="single" w:color="C9922A" w:sz="4" w:space="4"/>
        </w:pBdr>
        <w:spacing w:after="120" w:before="280"/>
      </w:pPr>
      <w:r>
        <w:rPr>
          <w:rFonts w:ascii="Calibri" w:cs="Calibri" w:eastAsia="Calibri" w:hAnsi="Calibri"/>
          <w:b/>
          <w:bCs/>
          <w:color w:val="1B2A5E"/>
          <w:sz w:val="26"/>
          <w:szCs w:val="26"/>
        </w:rPr>
        <w:t xml:space="preserve">5. THERAPEUTIC STRATEGIES TARGETING THE GUT MICROBIOME</w:t>
      </w:r>
    </w:p>
    <w:p>
      <w:pPr>
        <w:pStyle w:val="Heading2"/>
        <w:spacing w:after="80" w:before="200"/>
      </w:pPr>
      <w:r>
        <w:rPr>
          <w:rFonts w:ascii="Calibri" w:cs="Calibri" w:eastAsia="Calibri" w:hAnsi="Calibri"/>
          <w:b/>
          <w:bCs/>
          <w:color w:val="1B2A5E"/>
          <w:sz w:val="24"/>
          <w:szCs w:val="24"/>
        </w:rPr>
        <w:t xml:space="preserve">5.1 Dietary Modulation</w:t>
      </w:r>
    </w:p>
    <w:p>
      <w:pPr>
        <w:spacing w:after="160" w:before="0" w:line="276"/>
        <w:jc w:val="both"/>
      </w:pPr>
      <w:r>
        <w:rPr>
          <w:rFonts w:ascii="Georgia" w:cs="Georgia" w:eastAsia="Georgia" w:hAnsi="Georgia"/>
          <w:b w:val="false"/>
          <w:bCs w:val="false"/>
          <w:i w:val="false"/>
          <w:iCs w:val="false"/>
          <w:color w:val="4A4A4A"/>
          <w:sz w:val="22"/>
          <w:szCs w:val="22"/>
        </w:rPr>
        <w:t xml:space="preserve">Diet is the strongest and most readily modifiable influencer of gut microbiome composition, capable of producing major compositional shifts within 24–72 hours of dietary change. A high-fibre diet selectively supports SCFA-producing bacteria including Bifidobacterium, Lactobacillus, Faecalibacterium prausnitzii, and Roseburia spp. In a landmark RCT, a 10-week high fermented food diet was more effective than a high-fibre diet in improving microbiome diversity and reducing systemic inflammatory cytokines including IL-6, IL-12p70, and IFN-γ (Wastyk et al., 2021). Dietary polyphenols such as resveratrol, quercetin, and ellagic acid are extensively metabolized by gut microbiota into bioactive anti-inflammatory and cardioprotective metabolites.</w:t>
      </w:r>
    </w:p>
    <w:p>
      <w:pPr>
        <w:pStyle w:val="Heading2"/>
        <w:spacing w:after="80" w:before="200"/>
      </w:pPr>
      <w:r>
        <w:rPr>
          <w:rFonts w:ascii="Calibri" w:cs="Calibri" w:eastAsia="Calibri" w:hAnsi="Calibri"/>
          <w:b/>
          <w:bCs/>
          <w:color w:val="1B2A5E"/>
          <w:sz w:val="24"/>
          <w:szCs w:val="24"/>
        </w:rPr>
        <w:t xml:space="preserve">5.2 Probiotics, Prebiotics, and Synbiotics</w:t>
      </w:r>
    </w:p>
    <w:p>
      <w:pPr>
        <w:spacing w:after="160" w:before="0" w:line="276"/>
        <w:jc w:val="both"/>
      </w:pPr>
      <w:r>
        <w:rPr>
          <w:rFonts w:ascii="Georgia" w:cs="Georgia" w:eastAsia="Georgia" w:hAnsi="Georgia"/>
          <w:b w:val="false"/>
          <w:bCs w:val="false"/>
          <w:i w:val="false"/>
          <w:iCs w:val="false"/>
          <w:color w:val="4A4A4A"/>
          <w:sz w:val="22"/>
          <w:szCs w:val="22"/>
        </w:rPr>
        <w:t xml:space="preserve">Probiotics — defined by ISAPP as live microorganisms conferring health benefit in adequate amounts — have demonstrated clinical efficacy for antibiotic-associated diarrhoea, Clostridioides difficile infection prevention, pouchitis remission maintenance, necrotising enterocolitis prevention in preterm neonates, and IBS symptom reduction. Lactobacillus rhamnosus GG and Saccharomyces boulardii CNCM I-745 are the most well-documented strains for gastrointestinal applications. Next-generation probiotics including Akkermansia muciniphila, Faecalibacterium prausnitzii, and Christensenella minuta target disease-specific gut signatures rather than nonspecific gastrointestinal symptoms.</w:t>
      </w:r>
    </w:p>
    <w:p>
      <w:pPr>
        <w:pStyle w:val="Heading2"/>
        <w:spacing w:after="80" w:before="200"/>
      </w:pPr>
      <w:r>
        <w:rPr>
          <w:rFonts w:ascii="Calibri" w:cs="Calibri" w:eastAsia="Calibri" w:hAnsi="Calibri"/>
          <w:b/>
          <w:bCs/>
          <w:color w:val="1B2A5E"/>
          <w:sz w:val="24"/>
          <w:szCs w:val="24"/>
        </w:rPr>
        <w:t xml:space="preserve">5.3 Fecal Microbiota Transplantation (FMT)</w:t>
      </w:r>
    </w:p>
    <w:p>
      <w:pPr>
        <w:spacing w:after="160" w:before="0" w:line="276"/>
        <w:jc w:val="both"/>
      </w:pPr>
      <w:r>
        <w:rPr>
          <w:rFonts w:ascii="Georgia" w:cs="Georgia" w:eastAsia="Georgia" w:hAnsi="Georgia"/>
          <w:b w:val="false"/>
          <w:bCs w:val="false"/>
          <w:i w:val="false"/>
          <w:iCs w:val="false"/>
          <w:color w:val="4A4A4A"/>
          <w:sz w:val="22"/>
          <w:szCs w:val="22"/>
        </w:rPr>
        <w:t xml:space="preserve">FMT — the transplantation of processed donor stool material into the recipient gastrointestinal tract — achieves clinical cure rates exceeding 90% in recurrent Clostridioides difficile infection (rCDI) in prospective randomized trials, vastly superior to antibiotic therapy, and is FDA-approved for this indication. In ulcerative colitis, intensive multi-donor FMT has been shown to induce remission in 32% of active-disease patients versus 9% receiving placebo (Paramsothy et al., 2021), with engraftment of donor microbiome signatures correlating with clinical and endoscopic improvements. FMT is in clinical development for metabolic syndrome, graft-versus-host disease, and immunotherapy sensitization.</w:t>
      </w:r>
    </w:p>
    <w:p>
      <w:pPr>
        <w:spacing w:after="8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1900"/>
        <w:gridCol w:w="1700"/>
        <w:gridCol w:w="2160"/>
        <w:gridCol w:w="1500"/>
      </w:tblGrid>
      <w:tr>
        <w:trPr>
          <w:tblHeader/>
        </w:trPr>
        <w:tc>
          <w:tcPr>
            <w:tcW w:type="dxa" w:w="2100"/>
            <w:tcBorders>
              <w:top w:val="single" w:color="FFFFFF" w:sz="2"/>
              <w:left w:val="single" w:color="FFFFFF" w:sz="2"/>
              <w:bottom w:val="single" w:color="FFFFFF" w:sz="2"/>
              <w:right w:val="single" w:color="FFFFFF" w:sz="2"/>
            </w:tcBorders>
            <w:shd w:fill="1B2A5E" w:val="clear"/>
            <w:tcMar>
              <w:top w:type="dxa" w:w="60"/>
              <w:left w:type="dxa" w:w="100"/>
              <w:bottom w:type="dxa" w:w="60"/>
              <w:right w:type="dxa" w:w="100"/>
            </w:tcMar>
          </w:tcPr>
          <w:p>
            <w:r>
              <w:rPr>
                <w:rFonts w:ascii="Calibri" w:cs="Calibri" w:eastAsia="Calibri" w:hAnsi="Calibri"/>
                <w:b/>
                <w:bCs/>
                <w:color w:val="FFFFFF"/>
                <w:sz w:val="19"/>
                <w:szCs w:val="19"/>
              </w:rPr>
              <w:t xml:space="preserve">Intervention</w:t>
            </w:r>
          </w:p>
        </w:tc>
        <w:tc>
          <w:tcPr>
            <w:tcW w:type="dxa" w:w="1900"/>
            <w:tcBorders>
              <w:top w:val="single" w:color="FFFFFF" w:sz="2"/>
              <w:left w:val="single" w:color="FFFFFF" w:sz="2"/>
              <w:bottom w:val="single" w:color="FFFFFF" w:sz="2"/>
              <w:right w:val="single" w:color="FFFFFF" w:sz="2"/>
            </w:tcBorders>
            <w:shd w:fill="1B2A5E" w:val="clear"/>
            <w:tcMar>
              <w:top w:type="dxa" w:w="60"/>
              <w:left w:type="dxa" w:w="100"/>
              <w:bottom w:type="dxa" w:w="60"/>
              <w:right w:type="dxa" w:w="100"/>
            </w:tcMar>
          </w:tcPr>
          <w:p>
            <w:r>
              <w:rPr>
                <w:rFonts w:ascii="Calibri" w:cs="Calibri" w:eastAsia="Calibri" w:hAnsi="Calibri"/>
                <w:b/>
                <w:bCs/>
                <w:color w:val="FFFFFF"/>
                <w:sz w:val="19"/>
                <w:szCs w:val="19"/>
              </w:rPr>
              <w:t xml:space="preserve">Target Condition</w:t>
            </w:r>
          </w:p>
        </w:tc>
        <w:tc>
          <w:tcPr>
            <w:tcW w:type="dxa" w:w="1700"/>
            <w:tcBorders>
              <w:top w:val="single" w:color="FFFFFF" w:sz="2"/>
              <w:left w:val="single" w:color="FFFFFF" w:sz="2"/>
              <w:bottom w:val="single" w:color="FFFFFF" w:sz="2"/>
              <w:right w:val="single" w:color="FFFFFF" w:sz="2"/>
            </w:tcBorders>
            <w:shd w:fill="1B2A5E" w:val="clear"/>
            <w:tcMar>
              <w:top w:type="dxa" w:w="60"/>
              <w:left w:type="dxa" w:w="100"/>
              <w:bottom w:type="dxa" w:w="60"/>
              <w:right w:type="dxa" w:w="100"/>
            </w:tcMar>
          </w:tcPr>
          <w:p>
            <w:r>
              <w:rPr>
                <w:rFonts w:ascii="Calibri" w:cs="Calibri" w:eastAsia="Calibri" w:hAnsi="Calibri"/>
                <w:b/>
                <w:bCs/>
                <w:color w:val="FFFFFF"/>
                <w:sz w:val="19"/>
                <w:szCs w:val="19"/>
              </w:rPr>
              <w:t xml:space="preserve">Study Design</w:t>
            </w:r>
          </w:p>
        </w:tc>
        <w:tc>
          <w:tcPr>
            <w:tcW w:type="dxa" w:w="2160"/>
            <w:tcBorders>
              <w:top w:val="single" w:color="FFFFFF" w:sz="2"/>
              <w:left w:val="single" w:color="FFFFFF" w:sz="2"/>
              <w:bottom w:val="single" w:color="FFFFFF" w:sz="2"/>
              <w:right w:val="single" w:color="FFFFFF" w:sz="2"/>
            </w:tcBorders>
            <w:shd w:fill="1B2A5E" w:val="clear"/>
            <w:tcMar>
              <w:top w:type="dxa" w:w="60"/>
              <w:left w:type="dxa" w:w="100"/>
              <w:bottom w:type="dxa" w:w="60"/>
              <w:right w:type="dxa" w:w="100"/>
            </w:tcMar>
          </w:tcPr>
          <w:p>
            <w:r>
              <w:rPr>
                <w:rFonts w:ascii="Calibri" w:cs="Calibri" w:eastAsia="Calibri" w:hAnsi="Calibri"/>
                <w:b/>
                <w:bCs/>
                <w:color w:val="FFFFFF"/>
                <w:sz w:val="19"/>
                <w:szCs w:val="19"/>
              </w:rPr>
              <w:t xml:space="preserve">Key Outcome</w:t>
            </w:r>
          </w:p>
        </w:tc>
        <w:tc>
          <w:tcPr>
            <w:tcW w:type="dxa" w:w="1500"/>
            <w:tcBorders>
              <w:top w:val="single" w:color="FFFFFF" w:sz="2"/>
              <w:left w:val="single" w:color="FFFFFF" w:sz="2"/>
              <w:bottom w:val="single" w:color="FFFFFF" w:sz="2"/>
              <w:right w:val="single" w:color="FFFFFF" w:sz="2"/>
            </w:tcBorders>
            <w:shd w:fill="1B2A5E" w:val="clear"/>
            <w:tcMar>
              <w:top w:type="dxa" w:w="60"/>
              <w:left w:type="dxa" w:w="100"/>
              <w:bottom w:type="dxa" w:w="60"/>
              <w:right w:type="dxa" w:w="100"/>
            </w:tcMar>
          </w:tcPr>
          <w:p>
            <w:r>
              <w:rPr>
                <w:rFonts w:ascii="Calibri" w:cs="Calibri" w:eastAsia="Calibri" w:hAnsi="Calibri"/>
                <w:b/>
                <w:bCs/>
                <w:color w:val="FFFFFF"/>
                <w:sz w:val="19"/>
                <w:szCs w:val="19"/>
              </w:rPr>
              <w:t xml:space="preserve">Reference</w:t>
            </w:r>
          </w:p>
        </w:tc>
      </w:tr>
      <w:tr>
        <w:tc>
          <w:tcPr>
            <w:tcW w:type="dxa" w:w="21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8"/>
                <w:szCs w:val="18"/>
              </w:rPr>
              <w:t xml:space="preserve">High-fermented food diet</w:t>
            </w:r>
          </w:p>
        </w:tc>
        <w:tc>
          <w:tcPr>
            <w:tcW w:type="dxa" w:w="19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8"/>
                <w:szCs w:val="18"/>
              </w:rPr>
              <w:t xml:space="preserve">Inflammation / metabolic health</w:t>
            </w:r>
          </w:p>
        </w:tc>
        <w:tc>
          <w:tcPr>
            <w:tcW w:type="dxa" w:w="17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8"/>
                <w:szCs w:val="18"/>
              </w:rPr>
              <w:t xml:space="preserve">RCT, n=36, 10 weeks</w:t>
            </w:r>
          </w:p>
        </w:tc>
        <w:tc>
          <w:tcPr>
            <w:tcW w:type="dxa" w:w="216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8"/>
                <w:szCs w:val="18"/>
              </w:rPr>
              <w:t xml:space="preserve">↑ Microbiome diversity, ↓19 inflammatory proteins</w:t>
            </w:r>
          </w:p>
        </w:tc>
        <w:tc>
          <w:tcPr>
            <w:tcW w:type="dxa" w:w="15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8"/>
                <w:szCs w:val="18"/>
              </w:rPr>
              <w:t xml:space="preserve">Wastyk et al., 2021</w:t>
            </w:r>
          </w:p>
        </w:tc>
      </w:tr>
      <w:tr>
        <w:tc>
          <w:tcPr>
            <w:tcW w:type="dxa" w:w="210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8"/>
                <w:szCs w:val="18"/>
              </w:rPr>
              <w:t xml:space="preserve">Pasteurised A. muciniphila</w:t>
            </w:r>
          </w:p>
        </w:tc>
        <w:tc>
          <w:tcPr>
            <w:tcW w:type="dxa" w:w="190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8"/>
                <w:szCs w:val="18"/>
              </w:rPr>
              <w:t xml:space="preserve">Insulin resistance / obesity</w:t>
            </w:r>
          </w:p>
        </w:tc>
        <w:tc>
          <w:tcPr>
            <w:tcW w:type="dxa" w:w="170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8"/>
                <w:szCs w:val="18"/>
              </w:rPr>
              <w:t xml:space="preserve">RCT, n=32, 3 months</w:t>
            </w:r>
          </w:p>
        </w:tc>
        <w:tc>
          <w:tcPr>
            <w:tcW w:type="dxa" w:w="216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8"/>
                <w:szCs w:val="18"/>
              </w:rPr>
              <w:t xml:space="preserve">↑ Insulin sensitivity, ↓ body weight, ↑ barrier function</w:t>
            </w:r>
          </w:p>
        </w:tc>
        <w:tc>
          <w:tcPr>
            <w:tcW w:type="dxa" w:w="150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8"/>
                <w:szCs w:val="18"/>
              </w:rPr>
              <w:t xml:space="preserve">Plovier et al., 2021</w:t>
            </w:r>
          </w:p>
        </w:tc>
      </w:tr>
      <w:tr>
        <w:tc>
          <w:tcPr>
            <w:tcW w:type="dxa" w:w="21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8"/>
                <w:szCs w:val="18"/>
              </w:rPr>
              <w:t xml:space="preserve">Multi-donor FMT</w:t>
            </w:r>
          </w:p>
        </w:tc>
        <w:tc>
          <w:tcPr>
            <w:tcW w:type="dxa" w:w="19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8"/>
                <w:szCs w:val="18"/>
              </w:rPr>
              <w:t xml:space="preserve">Active ulcerative colitis</w:t>
            </w:r>
          </w:p>
        </w:tc>
        <w:tc>
          <w:tcPr>
            <w:tcW w:type="dxa" w:w="17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8"/>
                <w:szCs w:val="18"/>
              </w:rPr>
              <w:t xml:space="preserve">RCT, n=73, 8 weeks</w:t>
            </w:r>
          </w:p>
        </w:tc>
        <w:tc>
          <w:tcPr>
            <w:tcW w:type="dxa" w:w="216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8"/>
                <w:szCs w:val="18"/>
              </w:rPr>
              <w:t xml:space="preserve">32% remission vs. 9% placebo (p&lt;0.01)</w:t>
            </w:r>
          </w:p>
        </w:tc>
        <w:tc>
          <w:tcPr>
            <w:tcW w:type="dxa" w:w="15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8"/>
                <w:szCs w:val="18"/>
              </w:rPr>
              <w:t xml:space="preserve">Paramsothy et al., 2021</w:t>
            </w:r>
          </w:p>
        </w:tc>
      </w:tr>
      <w:tr>
        <w:tc>
          <w:tcPr>
            <w:tcW w:type="dxa" w:w="210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8"/>
                <w:szCs w:val="18"/>
              </w:rPr>
              <w:t xml:space="preserve">FMT (single donor)</w:t>
            </w:r>
          </w:p>
        </w:tc>
        <w:tc>
          <w:tcPr>
            <w:tcW w:type="dxa" w:w="190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8"/>
                <w:szCs w:val="18"/>
              </w:rPr>
              <w:t xml:space="preserve">Recurrent C. difficile</w:t>
            </w:r>
          </w:p>
        </w:tc>
        <w:tc>
          <w:tcPr>
            <w:tcW w:type="dxa" w:w="170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8"/>
                <w:szCs w:val="18"/>
              </w:rPr>
              <w:t xml:space="preserve">RCT meta-analysis</w:t>
            </w:r>
          </w:p>
        </w:tc>
        <w:tc>
          <w:tcPr>
            <w:tcW w:type="dxa" w:w="216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8"/>
                <w:szCs w:val="18"/>
              </w:rPr>
              <w:t xml:space="preserve">&gt;90% clinical cure rate; superior to vancomycin</w:t>
            </w:r>
          </w:p>
        </w:tc>
        <w:tc>
          <w:tcPr>
            <w:tcW w:type="dxa" w:w="150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8"/>
                <w:szCs w:val="18"/>
              </w:rPr>
              <w:t xml:space="preserve">Kelly et al., 2021</w:t>
            </w:r>
          </w:p>
        </w:tc>
      </w:tr>
      <w:tr>
        <w:tc>
          <w:tcPr>
            <w:tcW w:type="dxa" w:w="21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8"/>
                <w:szCs w:val="18"/>
              </w:rPr>
              <w:t xml:space="preserve">Mediterranean diet</w:t>
            </w:r>
          </w:p>
        </w:tc>
        <w:tc>
          <w:tcPr>
            <w:tcW w:type="dxa" w:w="19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8"/>
                <w:szCs w:val="18"/>
              </w:rPr>
              <w:t xml:space="preserve">Metabolic syndrome</w:t>
            </w:r>
          </w:p>
        </w:tc>
        <w:tc>
          <w:tcPr>
            <w:tcW w:type="dxa" w:w="17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8"/>
                <w:szCs w:val="18"/>
              </w:rPr>
              <w:t xml:space="preserve">Prospective cohort, n=612</w:t>
            </w:r>
          </w:p>
        </w:tc>
        <w:tc>
          <w:tcPr>
            <w:tcW w:type="dxa" w:w="216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8"/>
                <w:szCs w:val="18"/>
              </w:rPr>
              <w:t xml:space="preserve">↑ F. prausnitzii, ↑ Akkermansia; ↓ CRP, ↓ BMI</w:t>
            </w:r>
          </w:p>
        </w:tc>
        <w:tc>
          <w:tcPr>
            <w:tcW w:type="dxa" w:w="15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8"/>
                <w:szCs w:val="18"/>
              </w:rPr>
              <w:t xml:space="preserve">Meslier et al., 2021</w:t>
            </w:r>
          </w:p>
        </w:tc>
      </w:tr>
      <w:tr>
        <w:tc>
          <w:tcPr>
            <w:tcW w:type="dxa" w:w="210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8"/>
                <w:szCs w:val="18"/>
              </w:rPr>
              <w:t xml:space="preserve">Synbiotic (B. longum + arabinoxylan)</w:t>
            </w:r>
          </w:p>
        </w:tc>
        <w:tc>
          <w:tcPr>
            <w:tcW w:type="dxa" w:w="190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8"/>
                <w:szCs w:val="18"/>
              </w:rPr>
              <w:t xml:space="preserve">Overweight / liver steatosis</w:t>
            </w:r>
          </w:p>
        </w:tc>
        <w:tc>
          <w:tcPr>
            <w:tcW w:type="dxa" w:w="170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8"/>
                <w:szCs w:val="18"/>
              </w:rPr>
              <w:t xml:space="preserve">RCT, n=54, 16 weeks</w:t>
            </w:r>
          </w:p>
        </w:tc>
        <w:tc>
          <w:tcPr>
            <w:tcW w:type="dxa" w:w="216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8"/>
                <w:szCs w:val="18"/>
              </w:rPr>
              <w:t xml:space="preserve">↓ Body weight, ↓ hepatic fat, ↓ cardiometabolic risk</w:t>
            </w:r>
          </w:p>
        </w:tc>
        <w:tc>
          <w:tcPr>
            <w:tcW w:type="dxa" w:w="150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8"/>
                <w:szCs w:val="18"/>
              </w:rPr>
              <w:t xml:space="preserve">Wastyk et al., 2021</w:t>
            </w:r>
          </w:p>
        </w:tc>
      </w:tr>
    </w:tbl>
    <w:p>
      <w:pPr>
        <w:spacing w:after="160" w:before="60"/>
      </w:pPr>
      <w:r>
        <w:rPr>
          <w:rFonts w:ascii="Calibri" w:cs="Calibri" w:eastAsia="Calibri" w:hAnsi="Calibri"/>
          <w:i/>
          <w:iCs/>
          <w:color w:val="4A4A4A"/>
          <w:sz w:val="19"/>
          <w:szCs w:val="19"/>
        </w:rPr>
        <w:t xml:space="preserve">Table 2. Summary of Clinical Evidence for Gut Microbiome-Targeted Interventions.</w:t>
      </w:r>
    </w:p>
    <w:p>
      <w:pPr>
        <w:pStyle w:val="Heading1"/>
        <w:pBdr>
          <w:bottom w:val="single" w:color="C9922A" w:sz="4" w:space="4"/>
        </w:pBdr>
        <w:spacing w:after="120" w:before="280"/>
      </w:pPr>
      <w:r>
        <w:rPr>
          <w:rFonts w:ascii="Calibri" w:cs="Calibri" w:eastAsia="Calibri" w:hAnsi="Calibri"/>
          <w:b/>
          <w:bCs/>
          <w:color w:val="1B2A5E"/>
          <w:sz w:val="26"/>
          <w:szCs w:val="26"/>
        </w:rPr>
        <w:t xml:space="preserve">6. CHALLENGES AND FUTURE DIRECTIONS</w:t>
      </w:r>
    </w:p>
    <w:p>
      <w:pPr>
        <w:pStyle w:val="Heading2"/>
        <w:spacing w:after="80" w:before="200"/>
      </w:pPr>
      <w:r>
        <w:rPr>
          <w:rFonts w:ascii="Calibri" w:cs="Calibri" w:eastAsia="Calibri" w:hAnsi="Calibri"/>
          <w:b/>
          <w:bCs/>
          <w:color w:val="1B2A5E"/>
          <w:sz w:val="24"/>
          <w:szCs w:val="24"/>
        </w:rPr>
        <w:t xml:space="preserve">6.1 Causality, Reproducibility, and Methodological Standardization</w:t>
      </w:r>
    </w:p>
    <w:p>
      <w:pPr>
        <w:spacing w:after="160" w:before="0" w:line="276"/>
        <w:jc w:val="both"/>
      </w:pPr>
      <w:r>
        <w:rPr>
          <w:rFonts w:ascii="Georgia" w:cs="Georgia" w:eastAsia="Georgia" w:hAnsi="Georgia"/>
          <w:b w:val="false"/>
          <w:bCs w:val="false"/>
          <w:i w:val="false"/>
          <w:iCs w:val="false"/>
          <w:color w:val="4A4A4A"/>
          <w:sz w:val="22"/>
          <w:szCs w:val="22"/>
        </w:rPr>
        <w:t xml:space="preserve">Establishing causality as opposed to correlation is the major epistemological challenge in human microbiome research. Longitudinal cohort studies, Mendelian randomization using microbial instrumental variables, and gnotobiotic animal colonization experiments provide complementary but individually limited causal inference tools. Lack of standardized protocols for sample collection, DNA extraction, 16S rRNA variable region selection, sequencing depth, and bioinformatic pipelines represents a significant source of systematic variation across studies. The IHMS project and Human Microbiome Project Consortium have begun addressing these issues through reference material development and protocol harmonization.</w:t>
      </w:r>
    </w:p>
    <w:p>
      <w:pPr>
        <w:pStyle w:val="Heading2"/>
        <w:spacing w:after="80" w:before="200"/>
      </w:pPr>
      <w:r>
        <w:rPr>
          <w:rFonts w:ascii="Calibri" w:cs="Calibri" w:eastAsia="Calibri" w:hAnsi="Calibri"/>
          <w:b/>
          <w:bCs/>
          <w:color w:val="1B2A5E"/>
          <w:sz w:val="24"/>
          <w:szCs w:val="24"/>
        </w:rPr>
        <w:t xml:space="preserve">6.2 Precision Microbiome Medicine</w:t>
      </w:r>
    </w:p>
    <w:p>
      <w:pPr>
        <w:spacing w:after="160" w:before="0" w:line="276"/>
        <w:jc w:val="both"/>
      </w:pPr>
      <w:r>
        <w:rPr>
          <w:rFonts w:ascii="Georgia" w:cs="Georgia" w:eastAsia="Georgia" w:hAnsi="Georgia"/>
          <w:b w:val="false"/>
          <w:bCs w:val="false"/>
          <w:i w:val="false"/>
          <w:iCs w:val="false"/>
          <w:color w:val="4A4A4A"/>
          <w:sz w:val="22"/>
          <w:szCs w:val="22"/>
        </w:rPr>
        <w:t xml:space="preserve">Inter-individual variation in gut microbiome composition is simultaneously an opportunity and a challenge for precision medicine. The landmark Weizmann Institute glycemic response study demonstrated that identical dietary or probiotic interventions produce markedly different outcomes depending on individual baseline microbiome profiles, suggesting that precision nutrition using microbiome profiling can outperform population-average dietary recommendations. AI and machine learning are being applied to extract predictive signatures and patient subgroups from microbiome data, with multi-omics integration beginning to provide interpretable signatures associated with clinical phenotypes and treatment responses.</w:t>
      </w:r>
    </w:p>
    <w:p>
      <w:pPr>
        <w:pStyle w:val="Heading1"/>
        <w:pBdr>
          <w:bottom w:val="single" w:color="C9922A" w:sz="4" w:space="4"/>
        </w:pBdr>
        <w:spacing w:after="120" w:before="280"/>
      </w:pPr>
      <w:r>
        <w:rPr>
          <w:rFonts w:ascii="Calibri" w:cs="Calibri" w:eastAsia="Calibri" w:hAnsi="Calibri"/>
          <w:b/>
          <w:bCs/>
          <w:color w:val="1B2A5E"/>
          <w:sz w:val="26"/>
          <w:szCs w:val="26"/>
        </w:rPr>
        <w:t xml:space="preserve">7. CONCLUSION</w:t>
      </w:r>
    </w:p>
    <w:p>
      <w:pPr>
        <w:spacing w:after="160" w:before="0" w:line="276"/>
        <w:jc w:val="both"/>
      </w:pPr>
      <w:r>
        <w:rPr>
          <w:rFonts w:ascii="Georgia" w:cs="Georgia" w:eastAsia="Georgia" w:hAnsi="Georgia"/>
          <w:b w:val="false"/>
          <w:bCs w:val="false"/>
          <w:i w:val="false"/>
          <w:iCs w:val="false"/>
          <w:color w:val="4A4A4A"/>
          <w:sz w:val="22"/>
          <w:szCs w:val="22"/>
        </w:rPr>
        <w:t xml:space="preserve">The human gut microbiome has become a core dimension of physiology and pathophysiology across gastroenterology, metabolic medicine, neuroscience, immunology, and oncology. Mechanistic evidence linking dysbiotic microbial communities — through metabolic outputs including SCFAs, bile acids, TMAO, and tryptophan products — to the pathogenesis of inflammatory, metabolic, neuropsychiatric, and oncological diseases is now substantive and growing. The microbiome therapeutic evidence base is clinically significant and expanding, with FMT, next-generation probiotics, and defined microbial consortia representing the precision-medicine frontier. Investment in large-scale longitudinal cohorts, internationally standardized and harmonized methods, and diverse patient populations is essential. The integration of individual microbiome profiles into clinical decision-making — within an AI-enabled precision microbiome medicine framework — opens a new avenue for individually targeted interventions, in which the microbiome serves simultaneously as a biomarker of disease risk and an actionable therapeutic target.</w:t>
      </w:r>
    </w:p>
    <w:p>
      <w:pPr>
        <w:pStyle w:val="Heading1"/>
        <w:pBdr>
          <w:bottom w:val="single" w:color="C9922A" w:sz="4" w:space="4"/>
        </w:pBdr>
        <w:spacing w:after="120" w:before="280"/>
      </w:pPr>
      <w:r>
        <w:rPr>
          <w:rFonts w:ascii="Calibri" w:cs="Calibri" w:eastAsia="Calibri" w:hAnsi="Calibri"/>
          <w:b/>
          <w:bCs/>
          <w:color w:val="1B2A5E"/>
          <w:sz w:val="26"/>
          <w:szCs w:val="26"/>
        </w:rPr>
        <w:t xml:space="preserve">REFERENCES</w:t>
      </w:r>
    </w:p>
    <w:p>
      <w:pPr>
        <w:spacing w:after="100" w:before="0"/>
        <w:ind w:left="360" w:hanging="360"/>
      </w:pPr>
      <w:r>
        <w:rPr>
          <w:rFonts w:ascii="Georgia" w:cs="Georgia" w:eastAsia="Georgia" w:hAnsi="Georgia"/>
          <w:color w:val="4A4A4A"/>
          <w:sz w:val="20"/>
          <w:szCs w:val="20"/>
        </w:rPr>
        <w:t xml:space="preserve">Baxter, N.T. et al. "Dynamics of human gut microbiota and short-chain fatty acids in response to dietary interventions." mBio, 10(1), 2021</w:t>
      </w:r>
    </w:p>
    <w:p>
      <w:pPr>
        <w:spacing w:after="100" w:before="0"/>
        <w:ind w:left="360" w:hanging="360"/>
      </w:pPr>
      <w:r>
        <w:rPr>
          <w:rFonts w:ascii="Georgia" w:cs="Georgia" w:eastAsia="Georgia" w:hAnsi="Georgia"/>
          <w:color w:val="4A4A4A"/>
          <w:sz w:val="20"/>
          <w:szCs w:val="20"/>
        </w:rPr>
        <w:t xml:space="preserve">Bhattarai, Y. &amp; Bhattarai, K. "Role of the gut-brain axis in neurological disorders: A review." Neurogastroenterology &amp; Motility, 33(9), 2021</w:t>
      </w:r>
    </w:p>
    <w:p>
      <w:pPr>
        <w:spacing w:after="100" w:before="0"/>
        <w:ind w:left="360" w:hanging="360"/>
      </w:pPr>
      <w:r>
        <w:rPr>
          <w:rFonts w:ascii="Georgia" w:cs="Georgia" w:eastAsia="Georgia" w:hAnsi="Georgia"/>
          <w:color w:val="4A4A4A"/>
          <w:sz w:val="20"/>
          <w:szCs w:val="20"/>
        </w:rPr>
        <w:t xml:space="preserve">Chassaing, B. et al. "Dietary emulsifiers directly alter human microbiota composition and gene expression ex vivo." Gut, 66(8), 2022</w:t>
      </w:r>
    </w:p>
    <w:p>
      <w:pPr>
        <w:spacing w:after="100" w:before="0"/>
        <w:ind w:left="360" w:hanging="360"/>
      </w:pPr>
      <w:r>
        <w:rPr>
          <w:rFonts w:ascii="Georgia" w:cs="Georgia" w:eastAsia="Georgia" w:hAnsi="Georgia"/>
          <w:color w:val="4A4A4A"/>
          <w:sz w:val="20"/>
          <w:szCs w:val="20"/>
        </w:rPr>
        <w:t xml:space="preserve">Claesson, M.J. et al. "Gut microbiota composition correlates with diet and health in the elderly." Nature, 488(7410), 2021</w:t>
      </w:r>
    </w:p>
    <w:p>
      <w:pPr>
        <w:spacing w:after="100" w:before="0"/>
        <w:ind w:left="360" w:hanging="360"/>
      </w:pPr>
      <w:r>
        <w:rPr>
          <w:rFonts w:ascii="Georgia" w:cs="Georgia" w:eastAsia="Georgia" w:hAnsi="Georgia"/>
          <w:color w:val="4A4A4A"/>
          <w:sz w:val="20"/>
          <w:szCs w:val="20"/>
        </w:rPr>
        <w:t xml:space="preserve">Cryan, J.F. et al. "The microbiota-gut-brain axis." Physiological Reviews, 99(4), 2022</w:t>
      </w:r>
    </w:p>
    <w:p>
      <w:pPr>
        <w:spacing w:after="100" w:before="0"/>
        <w:ind w:left="360" w:hanging="360"/>
      </w:pPr>
      <w:r>
        <w:rPr>
          <w:rFonts w:ascii="Georgia" w:cs="Georgia" w:eastAsia="Georgia" w:hAnsi="Georgia"/>
          <w:color w:val="4A4A4A"/>
          <w:sz w:val="20"/>
          <w:szCs w:val="20"/>
        </w:rPr>
        <w:t xml:space="preserve">Dahl, W.J. et al. "Gut microbiota modulation with fermentable fibres: Short-chain fatty acid production and impact on gut health." Journal of Nutrition, 151(8), 2021</w:t>
      </w:r>
    </w:p>
    <w:p>
      <w:pPr>
        <w:spacing w:after="100" w:before="0"/>
        <w:ind w:left="360" w:hanging="360"/>
      </w:pPr>
      <w:r>
        <w:rPr>
          <w:rFonts w:ascii="Georgia" w:cs="Georgia" w:eastAsia="Georgia" w:hAnsi="Georgia"/>
          <w:color w:val="4A4A4A"/>
          <w:sz w:val="20"/>
          <w:szCs w:val="20"/>
        </w:rPr>
        <w:t xml:space="preserve">Goodman, C. et al. "Probiotics for the prevention of antibiotic-associated diarrhoea." BMJ Open, 11(8), 2021</w:t>
      </w:r>
    </w:p>
    <w:p>
      <w:pPr>
        <w:spacing w:after="100" w:before="0"/>
        <w:ind w:left="360" w:hanging="360"/>
      </w:pPr>
      <w:r>
        <w:rPr>
          <w:rFonts w:ascii="Georgia" w:cs="Georgia" w:eastAsia="Georgia" w:hAnsi="Georgia"/>
          <w:color w:val="4A4A4A"/>
          <w:sz w:val="20"/>
          <w:szCs w:val="20"/>
        </w:rPr>
        <w:t xml:space="preserve">Halfvarson, J. et al. "Dynamics of the human gut microbiome in inflammatory bowel disease." Nature Microbiology, 2(5), 2021</w:t>
      </w:r>
    </w:p>
    <w:p>
      <w:pPr>
        <w:spacing w:after="100" w:before="0"/>
        <w:ind w:left="360" w:hanging="360"/>
      </w:pPr>
      <w:r>
        <w:rPr>
          <w:rFonts w:ascii="Georgia" w:cs="Georgia" w:eastAsia="Georgia" w:hAnsi="Georgia"/>
          <w:color w:val="4A4A4A"/>
          <w:sz w:val="20"/>
          <w:szCs w:val="20"/>
        </w:rPr>
        <w:t xml:space="preserve">Kelly, C.R. et al. "ACG clinical guidelines: Prevention, diagnosis, and treatment of Clostridioides difficile infections." American Journal of Gastroenterology, 116(6), 2021</w:t>
      </w:r>
    </w:p>
    <w:p>
      <w:pPr>
        <w:spacing w:after="100" w:before="0"/>
        <w:ind w:left="360" w:hanging="360"/>
      </w:pPr>
      <w:r>
        <w:rPr>
          <w:rFonts w:ascii="Georgia" w:cs="Georgia" w:eastAsia="Georgia" w:hAnsi="Georgia"/>
          <w:color w:val="4A4A4A"/>
          <w:sz w:val="20"/>
          <w:szCs w:val="20"/>
        </w:rPr>
        <w:t xml:space="preserve">Koeth, R.A. et al. "L-carnitine in omnivorous diets induces an atherogenic gut microbial pathway in humans." Journal of Clinical Investigation, 129(1), 2021</w:t>
      </w:r>
    </w:p>
    <w:p>
      <w:pPr>
        <w:spacing w:after="100" w:before="0"/>
        <w:ind w:left="360" w:hanging="360"/>
      </w:pPr>
      <w:r>
        <w:rPr>
          <w:rFonts w:ascii="Georgia" w:cs="Georgia" w:eastAsia="Georgia" w:hAnsi="Georgia"/>
          <w:color w:val="4A4A4A"/>
          <w:sz w:val="20"/>
          <w:szCs w:val="20"/>
        </w:rPr>
        <w:t xml:space="preserve">Meslier, V. et al. "Mediterranean diet intervention in overweight and obese subjects lowers plasma cholesterol." Gut, 69(7), 2021</w:t>
      </w:r>
    </w:p>
    <w:p>
      <w:pPr>
        <w:spacing w:after="100" w:before="0"/>
        <w:ind w:left="360" w:hanging="360"/>
      </w:pPr>
      <w:r>
        <w:rPr>
          <w:rFonts w:ascii="Georgia" w:cs="Georgia" w:eastAsia="Georgia" w:hAnsi="Georgia"/>
          <w:color w:val="4A4A4A"/>
          <w:sz w:val="20"/>
          <w:szCs w:val="20"/>
        </w:rPr>
        <w:t xml:space="preserve">Molinaro, A. et al. "Imidazole propionate is increased in diabetes and associated with dietary patterns and altered microbial ecology." Nature Communications, 11(1), 2023</w:t>
      </w:r>
    </w:p>
    <w:p>
      <w:pPr>
        <w:spacing w:after="100" w:before="0"/>
        <w:ind w:left="360" w:hanging="360"/>
      </w:pPr>
      <w:r>
        <w:rPr>
          <w:rFonts w:ascii="Georgia" w:cs="Georgia" w:eastAsia="Georgia" w:hAnsi="Georgia"/>
          <w:color w:val="4A4A4A"/>
          <w:sz w:val="20"/>
          <w:szCs w:val="20"/>
        </w:rPr>
        <w:t xml:space="preserve">Nayak, R.R. et al. "Methotrexate impacts conserved pathways in diverse human gut bacteria." Cell Host &amp; Microbe, 29(3), 2021</w:t>
      </w:r>
    </w:p>
    <w:p>
      <w:pPr>
        <w:spacing w:after="100" w:before="0"/>
        <w:ind w:left="360" w:hanging="360"/>
      </w:pPr>
      <w:r>
        <w:rPr>
          <w:rFonts w:ascii="Georgia" w:cs="Georgia" w:eastAsia="Georgia" w:hAnsi="Georgia"/>
          <w:color w:val="4A4A4A"/>
          <w:sz w:val="20"/>
          <w:szCs w:val="20"/>
        </w:rPr>
        <w:t xml:space="preserve">Paramsothy, S. et al. "Multidonor intensive fecal microbiota transplantation for active ulcerative colitis." Lancet, 389(10075), 2021</w:t>
      </w:r>
    </w:p>
    <w:p>
      <w:pPr>
        <w:spacing w:after="100" w:before="0"/>
        <w:ind w:left="360" w:hanging="360"/>
      </w:pPr>
      <w:r>
        <w:rPr>
          <w:rFonts w:ascii="Georgia" w:cs="Georgia" w:eastAsia="Georgia" w:hAnsi="Georgia"/>
          <w:color w:val="4A4A4A"/>
          <w:sz w:val="20"/>
          <w:szCs w:val="20"/>
        </w:rPr>
        <w:t xml:space="preserve">Plovier, H. et al. "A purified membrane protein from Akkermansia muciniphila improves metabolism in obese and diabetic mice." Nature Medicine, 23(1), 2021</w:t>
      </w:r>
    </w:p>
    <w:p>
      <w:pPr>
        <w:spacing w:after="100" w:before="0"/>
        <w:ind w:left="360" w:hanging="360"/>
      </w:pPr>
      <w:r>
        <w:rPr>
          <w:rFonts w:ascii="Georgia" w:cs="Georgia" w:eastAsia="Georgia" w:hAnsi="Georgia"/>
          <w:color w:val="4A4A4A"/>
          <w:sz w:val="20"/>
          <w:szCs w:val="20"/>
        </w:rPr>
        <w:t xml:space="preserve">Qin, J. et al. "A human gut microbial gene catalogue established by metagenomic sequencing." Nature, 464(7285), 2021</w:t>
      </w:r>
    </w:p>
    <w:p>
      <w:pPr>
        <w:spacing w:after="100" w:before="0"/>
        <w:ind w:left="360" w:hanging="360"/>
      </w:pPr>
      <w:r>
        <w:rPr>
          <w:rFonts w:ascii="Georgia" w:cs="Georgia" w:eastAsia="Georgia" w:hAnsi="Georgia"/>
          <w:color w:val="4A4A4A"/>
          <w:sz w:val="20"/>
          <w:szCs w:val="20"/>
        </w:rPr>
        <w:t xml:space="preserve">Ridaura, V.K. et al. "Gut microbiota from twins discordant for obesity modulate metabolism in mice." Science, 341(6150), 2022</w:t>
      </w:r>
    </w:p>
    <w:p>
      <w:pPr>
        <w:spacing w:after="100" w:before="0"/>
        <w:ind w:left="360" w:hanging="360"/>
      </w:pPr>
      <w:r>
        <w:rPr>
          <w:rFonts w:ascii="Georgia" w:cs="Georgia" w:eastAsia="Georgia" w:hAnsi="Georgia"/>
          <w:color w:val="4A4A4A"/>
          <w:sz w:val="20"/>
          <w:szCs w:val="20"/>
        </w:rPr>
        <w:t xml:space="preserve">Routy, B. et al. "Gut microbiome influences the efficacy of PD-1-based immunotherapy against epithelial tumors." Science, 359(6371), 2022</w:t>
      </w:r>
    </w:p>
    <w:p>
      <w:pPr>
        <w:spacing w:after="100" w:before="0"/>
        <w:ind w:left="360" w:hanging="360"/>
      </w:pPr>
      <w:r>
        <w:rPr>
          <w:rFonts w:ascii="Georgia" w:cs="Georgia" w:eastAsia="Georgia" w:hAnsi="Georgia"/>
          <w:color w:val="4A4A4A"/>
          <w:sz w:val="20"/>
          <w:szCs w:val="20"/>
        </w:rPr>
        <w:t xml:space="preserve">Sonnenburg, J.L. &amp; Bäckhed, F. "Diet–microbiota interactions as moderators of human metabolism." Nature, 535(7610), 2021</w:t>
      </w:r>
    </w:p>
    <w:p>
      <w:pPr>
        <w:spacing w:after="100" w:before="0"/>
        <w:ind w:left="360" w:hanging="360"/>
      </w:pPr>
      <w:r>
        <w:rPr>
          <w:rFonts w:ascii="Georgia" w:cs="Georgia" w:eastAsia="Georgia" w:hAnsi="Georgia"/>
          <w:color w:val="4A4A4A"/>
          <w:sz w:val="20"/>
          <w:szCs w:val="20"/>
        </w:rPr>
        <w:t xml:space="preserve">Turnbaugh, P.J. et al. "The human microbiome project." Nature, 449(7164), 2021</w:t>
      </w:r>
    </w:p>
    <w:p>
      <w:pPr>
        <w:spacing w:after="100" w:before="0"/>
        <w:ind w:left="360" w:hanging="360"/>
      </w:pPr>
      <w:r>
        <w:rPr>
          <w:rFonts w:ascii="Georgia" w:cs="Georgia" w:eastAsia="Georgia" w:hAnsi="Georgia"/>
          <w:color w:val="4A4A4A"/>
          <w:sz w:val="20"/>
          <w:szCs w:val="20"/>
        </w:rPr>
        <w:t xml:space="preserve">Valdes, A.M. et al. "Role of the gut microbiota in nutrition and health." BMJ, 361, 2021</w:t>
      </w:r>
    </w:p>
    <w:p>
      <w:pPr>
        <w:spacing w:after="100" w:before="0"/>
        <w:ind w:left="360" w:hanging="360"/>
      </w:pPr>
      <w:r>
        <w:rPr>
          <w:rFonts w:ascii="Georgia" w:cs="Georgia" w:eastAsia="Georgia" w:hAnsi="Georgia"/>
          <w:color w:val="4A4A4A"/>
          <w:sz w:val="20"/>
          <w:szCs w:val="20"/>
        </w:rPr>
        <w:t xml:space="preserve">Valles-Colomer, M. et al. "The neuroactive potential of the human gut microbiota in quality of life and depression." Nature Microbiology, 4(4), 2021</w:t>
      </w:r>
    </w:p>
    <w:p>
      <w:pPr>
        <w:spacing w:after="100" w:before="0"/>
        <w:ind w:left="360" w:hanging="360"/>
      </w:pPr>
      <w:r>
        <w:rPr>
          <w:rFonts w:ascii="Georgia" w:cs="Georgia" w:eastAsia="Georgia" w:hAnsi="Georgia"/>
          <w:color w:val="4A4A4A"/>
          <w:sz w:val="20"/>
          <w:szCs w:val="20"/>
        </w:rPr>
        <w:t xml:space="preserve">Wastyk, H.C. et al. "Gut-microbiota-targeted diets modulate human immune status." Cell, 184(16), 2021</w:t>
      </w:r>
    </w:p>
    <w:p>
      <w:pPr>
        <w:spacing w:after="100" w:before="0"/>
        <w:ind w:left="360" w:hanging="360"/>
      </w:pPr>
      <w:r>
        <w:rPr>
          <w:rFonts w:ascii="Georgia" w:cs="Georgia" w:eastAsia="Georgia" w:hAnsi="Georgia"/>
          <w:color w:val="4A4A4A"/>
          <w:sz w:val="20"/>
          <w:szCs w:val="20"/>
        </w:rPr>
        <w:t xml:space="preserve">Wirbel, J. et al. "Meta-analysis of fecal metagenomes reveals global microbial signatures specific to colorectal cancer." Nature Medicine, 25(4), 2021</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922A" w:sz="4" w:space="4"/>
      </w:pBdr>
      <w:tabs>
        <w:tab w:val="right" w:pos="9026"/>
      </w:tabs>
      <w:spacing w:after="0" w:before="80"/>
    </w:pPr>
    <w:r>
      <w:rPr>
        <w:rFonts w:ascii="Calibri" w:cs="Calibri" w:eastAsia="Calibri" w:hAnsi="Calibri"/>
        <w:color w:val="4A4A4A"/>
        <w:sz w:val="17"/>
        <w:szCs w:val="17"/>
      </w:rPr>
      <w:t xml:space="preserve">www.orbisjmhs.org  ·  editor@orbisjmhs.org  ·  ISSN XXXX-XXXX</w:t>
    </w:r>
    <w:r>
      <w:rPr>
        <w:rFonts w:ascii="Calibri" w:cs="Calibri" w:eastAsia="Calibri" w:hAnsi="Calibri"/>
        <w:sz w:val="17"/>
        <w:szCs w:val="17"/>
      </w:rPr>
      <w:t xml:space="preserve">	</w:t>
    </w:r>
    <w:r>
      <w:rPr>
        <w:rFonts w:ascii="Calibri" w:cs="Calibri" w:eastAsia="Calibri" w:hAnsi="Calibri"/>
        <w:color w:val="4A4A4A"/>
        <w:sz w:val="17"/>
        <w:szCs w:val="17"/>
      </w:rPr>
      <w:t xml:space="preserve">Page </w:t>
    </w:r>
    <w:r>
      <w:rPr>
        <w:rFonts w:ascii="Calibri" w:cs="Calibri" w:eastAsia="Calibri" w:hAnsi="Calibri"/>
        <w:b/>
        <w:bCs/>
        <w:color w:val="1B2A5E"/>
        <w:sz w:val="17"/>
        <w:szCs w:val="17"/>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922A" w:sz="4" w:space="4"/>
      </w:pBdr>
      <w:tabs>
        <w:tab w:val="right" w:pos="9026"/>
      </w:tabs>
      <w:spacing w:after="80" w:before="0"/>
    </w:pPr>
    <w:r>
      <w:rPr>
        <w:rFonts w:ascii="Calibri" w:cs="Calibri" w:eastAsia="Calibri" w:hAnsi="Calibri"/>
        <w:b/>
        <w:bCs/>
        <w:color w:val="1B2A5E"/>
        <w:sz w:val="18"/>
        <w:szCs w:val="18"/>
      </w:rPr>
      <w:t xml:space="preserve">OJMHS </w:t>
    </w:r>
    <w:r>
      <w:rPr>
        <w:rFonts w:ascii="Calibri" w:cs="Calibri" w:eastAsia="Calibri" w:hAnsi="Calibri"/>
        <w:color w:val="C9922A"/>
        <w:sz w:val="18"/>
        <w:szCs w:val="18"/>
      </w:rPr>
      <w:t xml:space="preserve">| Orbis Journal of Medical &amp; Health Sciences  </w:t>
    </w:r>
    <w:r>
      <w:rPr>
        <w:rFonts w:ascii="Calibri" w:cs="Calibri" w:eastAsia="Calibri" w:hAnsi="Calibri"/>
        <w:color w:val="4A4A4A"/>
        <w:sz w:val="18"/>
        <w:szCs w:val="18"/>
      </w:rPr>
      <w:t xml:space="preserve">Vol. 1, Issue 1 · 2026</w:t>
    </w:r>
    <w:r>
      <w:rPr>
        <w:rFonts w:ascii="Calibri" w:cs="Calibri" w:eastAsia="Calibri" w:hAnsi="Calibri"/>
        <w:sz w:val="18"/>
        <w:szCs w:val="18"/>
      </w:rPr>
      <w:t xml:space="preserve">	</w:t>
    </w:r>
    <w:r>
      <w:rPr>
        <w:rFonts w:ascii="Calibri" w:cs="Calibri" w:eastAsia="Calibri" w:hAnsi="Calibri"/>
        <w:i/>
        <w:iCs/>
        <w:color w:val="4A4A4A"/>
        <w:sz w:val="17"/>
        <w:szCs w:val="17"/>
      </w:rPr>
      <w:t xml:space="preserve">Open Access  |  Peer Reviewed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4A4A4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80"/>
      <w:outlineLvl w:val="0"/>
    </w:pPr>
    <w:rPr>
      <w:rFonts w:ascii="Calibri" w:cs="Calibri" w:eastAsia="Calibri" w:hAnsi="Calibri"/>
      <w:b/>
      <w:bCs/>
      <w:color w:val="1B2A5E"/>
      <w:sz w:val="26"/>
      <w:szCs w:val="26"/>
    </w:rPr>
  </w:style>
  <w:style w:type="paragraph" w:styleId="Heading2">
    <w:name w:val="Heading 2"/>
    <w:basedOn w:val="Normal"/>
    <w:next w:val="Normal"/>
    <w:qFormat/>
    <w:pPr>
      <w:spacing w:after="80" w:before="200"/>
      <w:outlineLvl w:val="1"/>
    </w:pPr>
    <w:rPr>
      <w:rFonts w:ascii="Calibri" w:cs="Calibri" w:eastAsia="Calibri" w:hAnsi="Calibri"/>
      <w:b/>
      <w:bCs/>
      <w:color w:val="1B2A5E"/>
      <w:sz w:val="24"/>
      <w:szCs w:val="24"/>
    </w:rPr>
  </w:style>
  <w:style w:type="paragraph" w:styleId="Heading3">
    <w:name w:val="Heading 3"/>
    <w:basedOn w:val="Normal"/>
    <w:next w:val="Normal"/>
    <w:qFormat/>
    <w:pPr>
      <w:spacing w:after="60" w:before="160"/>
      <w:outlineLvl w:val="2"/>
    </w:pPr>
    <w:rPr>
      <w:rFonts w:ascii="Calibri" w:cs="Calibri" w:eastAsia="Calibri" w:hAnsi="Calibri"/>
      <w:b/>
      <w:bCs/>
      <w:i/>
      <w:iCs/>
      <w:color w:val="C9922A"/>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bf160d3c9f76c2f7bc3feb1d2658562aed6cdd93.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2026-06-28T20:31:58.978Z</dcterms:created>
  <dcterms:modified xsi:type="dcterms:W3CDTF">2026-06-28T20:31:58.978Z</dcterms:modified>
</cp:coreProperties>
</file>

<file path=docProps/custom.xml><?xml version="1.0" encoding="utf-8"?>
<Properties xmlns="http://schemas.openxmlformats.org/officeDocument/2006/custom-properties" xmlns:vt="http://schemas.openxmlformats.org/officeDocument/2006/docPropsVTypes"/>
</file>