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drawing>
          <wp:inline distT="0" distB="0" distL="0" distR="0">
            <wp:extent cx="3429000" cy="1247775"/>
            <wp:effectExtent t="0" r="0" b="0" l="0"/>
            <wp:docPr id="1" name="OJMHSLogo" descr="Orbis Journal logo" title="OJM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429000" cy="1247775"/>
                    </a:xfrm>
                    <a:prstGeom prst="rect">
                      <a:avLst/>
                    </a:prstGeom>
                  </pic:spPr>
                </pic:pic>
              </a:graphicData>
            </a:graphic>
          </wp:inline>
        </w:drawing>
      </w:r>
    </w:p>
    <w:p>
      <w:pPr>
        <w:spacing w:after="60" w:before="0"/>
        <w:jc w:val="center"/>
      </w:pPr>
      <w:r>
        <w:rPr>
          <w:rFonts w:ascii="Calibri" w:cs="Calibri" w:eastAsia="Calibri" w:hAnsi="Calibri"/>
          <w:i/>
          <w:iCs/>
          <w:color w:val="C9922A"/>
          <w:sz w:val="22"/>
          <w:szCs w:val="22"/>
        </w:rPr>
        <w:t xml:space="preserve">Orbis Journal of Medical &amp; Health Sciences</w:t>
      </w:r>
    </w:p>
    <w:p>
      <w:pPr>
        <w:spacing w:after="200" w:before="0"/>
        <w:jc w:val="center"/>
      </w:pPr>
      <w:r>
        <w:rPr>
          <w:rFonts w:ascii="Calibri" w:cs="Calibri" w:eastAsia="Calibri" w:hAnsi="Calibri"/>
          <w:color w:val="4A4A4A"/>
          <w:sz w:val="19"/>
          <w:szCs w:val="19"/>
        </w:rPr>
        <w:t xml:space="preserve">Volume 1  ·  Issue 1  ·  2026  |  Open Access  ·  Peer Reviewed</w:t>
      </w:r>
    </w:p>
    <w:p>
      <w:pPr>
        <w:pBdr>
          <w:bottom w:val="single" w:color="C9922A" w:sz="6" w:space="1"/>
        </w:pBdr>
        <w:spacing w:after="160" w:before="0"/>
      </w:pPr>
    </w:p>
    <w:p>
      <w:pPr>
        <w:spacing w:after="60" w:before="80"/>
      </w:pPr>
      <w:r>
        <w:rPr>
          <w:rFonts w:ascii="Calibri" w:cs="Calibri" w:eastAsia="Calibri" w:hAnsi="Calibri"/>
          <w:b/>
          <w:bCs/>
          <w:caps/>
          <w:color w:val="C9922A"/>
          <w:sz w:val="19"/>
          <w:szCs w:val="19"/>
        </w:rPr>
        <w:t xml:space="preserve">SYSTEMATIC REVIEW</w:t>
      </w:r>
    </w:p>
    <w:p>
      <w:pPr>
        <w:spacing w:after="200" w:before="0"/>
        <w:jc w:val="left"/>
      </w:pPr>
      <w:r>
        <w:rPr>
          <w:rFonts w:ascii="Calibri" w:cs="Calibri" w:eastAsia="Calibri" w:hAnsi="Calibri"/>
          <w:b/>
          <w:bCs/>
          <w:color w:val="1B2A5E"/>
          <w:sz w:val="34"/>
          <w:szCs w:val="34"/>
        </w:rPr>
        <w:t xml:space="preserve">Pharmacogenomics in Personalized Medicine: A Systematic Review of Gene-Drug Interactions and Clinical Outcomes</w:t>
      </w:r>
    </w:p>
    <w:p>
      <w:pPr>
        <w:spacing w:after="60" w:before="0"/>
      </w:pPr>
      <w:r>
        <w:rPr>
          <w:rFonts w:ascii="Calibri" w:cs="Calibri" w:eastAsia="Calibri" w:hAnsi="Calibri"/>
          <w:b/>
          <w:bCs/>
          <w:color w:val="4A4A4A"/>
          <w:sz w:val="22"/>
          <w:szCs w:val="22"/>
        </w:rPr>
        <w:t xml:space="preserve">Jeremy Mytskevych</w:t>
      </w:r>
    </w:p>
    <w:p>
      <w:pPr>
        <w:spacing w:after="60" w:before="0"/>
      </w:pPr>
      <w:r>
        <w:rPr>
          <w:rFonts w:ascii="Calibri" w:cs="Calibri" w:eastAsia="Calibri" w:hAnsi="Calibri"/>
          <w:i/>
          <w:iCs/>
          <w:color w:val="4A4A4A"/>
          <w:sz w:val="20"/>
          <w:szCs w:val="20"/>
        </w:rPr>
        <w:t xml:space="preserve">International University of the Health Sciences School of Medicine, Arizona State University</w:t>
      </w:r>
    </w:p>
    <w:p>
      <w:pPr>
        <w:spacing w:after="120" w:before="0"/>
      </w:pPr>
      <w:r>
        <w:rPr>
          <w:rFonts w:ascii="Calibri" w:cs="Calibri" w:eastAsia="Calibri" w:hAnsi="Calibri"/>
          <w:b/>
          <w:bCs/>
          <w:color w:val="1B2A5E"/>
          <w:sz w:val="20"/>
          <w:szCs w:val="20"/>
        </w:rPr>
        <w:t xml:space="preserve">ORCID: </w:t>
      </w:r>
      <w:r>
        <w:rPr>
          <w:rFonts w:ascii="Calibri" w:cs="Calibri" w:eastAsia="Calibri" w:hAnsi="Calibri"/>
          <w:color w:val="4A4A4A"/>
          <w:sz w:val="20"/>
          <w:szCs w:val="20"/>
        </w:rPr>
        <w:t xml:space="preserve">0009-0006-2394-6087</w:t>
      </w:r>
    </w:p>
    <w:p>
      <w:pPr>
        <w:pBdr>
          <w:bottom w:val="single" w:color="D0C09A" w:sz="2" w:space="1"/>
        </w:pBdr>
        <w:spacing w:after="120" w:before="0"/>
      </w:pPr>
    </w:p>
    <w:p>
      <w:pPr>
        <w:spacing w:after="30" w:before="30"/>
      </w:pPr>
      <w:r>
        <w:rPr>
          <w:rFonts w:ascii="Calibri" w:cs="Calibri" w:eastAsia="Calibri" w:hAnsi="Calibri"/>
          <w:b/>
          <w:bCs/>
          <w:color w:val="1B2A5E"/>
          <w:sz w:val="20"/>
          <w:szCs w:val="20"/>
        </w:rPr>
        <w:t xml:space="preserve">Received: </w:t>
      </w:r>
      <w:r>
        <w:rPr>
          <w:rFonts w:ascii="Calibri" w:cs="Calibri" w:eastAsia="Calibri" w:hAnsi="Calibri"/>
          <w:color w:val="4A4A4A"/>
          <w:sz w:val="20"/>
          <w:szCs w:val="20"/>
        </w:rPr>
        <w:t xml:space="preserve">June 1, 2026</w:t>
      </w:r>
    </w:p>
    <w:p>
      <w:pPr>
        <w:spacing w:after="30" w:before="30"/>
      </w:pPr>
      <w:r>
        <w:rPr>
          <w:rFonts w:ascii="Calibri" w:cs="Calibri" w:eastAsia="Calibri" w:hAnsi="Calibri"/>
          <w:b/>
          <w:bCs/>
          <w:color w:val="1B2A5E"/>
          <w:sz w:val="20"/>
          <w:szCs w:val="20"/>
        </w:rPr>
        <w:t xml:space="preserve">Accepted: </w:t>
      </w:r>
      <w:r>
        <w:rPr>
          <w:rFonts w:ascii="Calibri" w:cs="Calibri" w:eastAsia="Calibri" w:hAnsi="Calibri"/>
          <w:color w:val="4A4A4A"/>
          <w:sz w:val="20"/>
          <w:szCs w:val="20"/>
        </w:rPr>
        <w:t xml:space="preserve">June 1, 2026</w:t>
      </w:r>
    </w:p>
    <w:p>
      <w:pPr>
        <w:spacing w:after="30" w:before="30"/>
      </w:pPr>
      <w:r>
        <w:rPr>
          <w:rFonts w:ascii="Calibri" w:cs="Calibri" w:eastAsia="Calibri" w:hAnsi="Calibri"/>
          <w:b/>
          <w:bCs/>
          <w:color w:val="1B2A5E"/>
          <w:sz w:val="20"/>
          <w:szCs w:val="20"/>
        </w:rPr>
        <w:t xml:space="preserve">Published: </w:t>
      </w:r>
      <w:r>
        <w:rPr>
          <w:rFonts w:ascii="Calibri" w:cs="Calibri" w:eastAsia="Calibri" w:hAnsi="Calibri"/>
          <w:color w:val="4A4A4A"/>
          <w:sz w:val="20"/>
          <w:szCs w:val="20"/>
        </w:rPr>
        <w:t xml:space="preserve">June 28, 2026</w:t>
      </w:r>
    </w:p>
    <w:p>
      <w:pPr>
        <w:spacing w:after="0" w:before="0"/>
      </w:pPr>
    </w:p>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922A" w:sz="4"/>
              <w:left w:val="single" w:color="C9922A" w:sz="4"/>
              <w:bottom w:val="single" w:color="C9922A" w:sz="4"/>
              <w:right w:val="single" w:color="C9922A" w:sz="4"/>
            </w:tcBorders>
            <w:shd w:fill="EFF2F8" w:val="clear"/>
            <w:tcMar>
              <w:top w:type="dxa" w:w="200"/>
              <w:left w:type="dxa" w:w="220"/>
              <w:bottom w:type="dxa" w:w="200"/>
              <w:right w:type="dxa" w:w="220"/>
            </w:tcMar>
          </w:tcPr>
          <w:p>
            <w:pPr>
              <w:spacing w:after="80" w:before="0"/>
            </w:pPr>
            <w:r>
              <w:rPr>
                <w:rFonts w:ascii="Calibri" w:cs="Calibri" w:eastAsia="Calibri" w:hAnsi="Calibri"/>
                <w:b/>
                <w:bCs/>
                <w:caps/>
                <w:color w:val="1B2A5E"/>
                <w:sz w:val="22"/>
                <w:szCs w:val="22"/>
              </w:rPr>
              <w:t xml:space="preserve">ABSTRACT</w:t>
            </w:r>
          </w:p>
          <w:p>
            <w:pPr>
              <w:spacing w:after="0" w:before="0" w:line="268"/>
              <w:jc w:val="both"/>
            </w:pPr>
            <w:r>
              <w:rPr>
                <w:rFonts w:ascii="Georgia" w:cs="Georgia" w:eastAsia="Georgia" w:hAnsi="Georgia"/>
                <w:color w:val="4A4A4A"/>
                <w:sz w:val="21"/>
                <w:szCs w:val="21"/>
              </w:rPr>
              <w:t xml:space="preserve">Background: Pharmacogenomics — the study of genetic variation and its influence on drug response — has ushered in a paradigm shift in clinical pharmacology with the potential to provide therapeutic treatment personalized to a patient's genetic architecture. Although sequencing technologies and pharmacogenomic databases have advanced substantially, the conversion of genotype to clinical relevance remains non-homogeneous across healthcare systems worldwide. Methods: A systematic literature search was conducted in PubMed/MEDLINE, Scopus, and CINAHL databases for publications from January 2020 to April 2025, screened according to PRISMA guidelines and relevant to pharmacogenomic biomarkers, gene-drug interactions, clinical implementation, and patient outcomes. Results: Abundant evidence supports the clinical value of pharmacogenomic-guided therapy in oncology, psychiatry, cardiology, and infectious disease. Validated variants including CYP2C19, CYP2D6, TPMT, DPYD, HLA-B*57:01, SLCO1B1, and VKORC1 enable actionable clinical decision-making. Preemptive pharmacogenomic testing integrated with EHR clinical decision support reduces adverse drug reaction (ADR) incidence, improves prescribing guideline concordance, and generates measurable cost savings. Conclusion: Systematic pharmacogenomics integration into clinical workflows through comprehensive clinical decision support systems and structured educational programs represents the most scalable strategy to realize precision medicine at the bedside.</w:t>
            </w:r>
          </w:p>
        </w:tc>
      </w:tr>
    </w:tbl>
    <w:p>
      <w:pPr>
        <w:spacing w:after="120" w:before="0"/>
      </w:pPr>
    </w:p>
    <w:p>
      <w:pPr>
        <w:spacing w:after="160" w:before="80"/>
      </w:pPr>
      <w:r>
        <w:rPr>
          <w:rFonts w:ascii="Calibri" w:cs="Calibri" w:eastAsia="Calibri" w:hAnsi="Calibri"/>
          <w:b/>
          <w:bCs/>
          <w:color w:val="1B2A5E"/>
          <w:sz w:val="21"/>
          <w:szCs w:val="21"/>
        </w:rPr>
        <w:t xml:space="preserve">Keywords: </w:t>
      </w:r>
      <w:r>
        <w:rPr>
          <w:rFonts w:ascii="Calibri" w:cs="Calibri" w:eastAsia="Calibri" w:hAnsi="Calibri"/>
          <w:i/>
          <w:iCs/>
          <w:color w:val="4A4A4A"/>
          <w:sz w:val="21"/>
          <w:szCs w:val="21"/>
        </w:rPr>
        <w:t xml:space="preserve">Pharmacogenomics · Pharmacogenetics · Personalized Medicine · Adverse Drug Reactions · CYP450 Polymorphisms · Gene-Drug Interactions · Clinical Decision Support · Preemptive Genotyping</w:t>
      </w:r>
    </w:p>
    <w:p>
      <w:pPr>
        <w:spacing w:after="200" w:before="0"/>
      </w:pPr>
    </w:p>
    <w:p>
      <w:pPr>
        <w:pStyle w:val="Heading1"/>
        <w:pBdr>
          <w:bottom w:val="single" w:color="C9922A" w:sz="4" w:space="4"/>
        </w:pBdr>
        <w:spacing w:after="120" w:before="280"/>
      </w:pPr>
      <w:r>
        <w:rPr>
          <w:rFonts w:ascii="Calibri" w:cs="Calibri" w:eastAsia="Calibri" w:hAnsi="Calibri"/>
          <w:b/>
          <w:bCs/>
          <w:color w:val="1B2A5E"/>
          <w:sz w:val="26"/>
          <w:szCs w:val="26"/>
        </w:rPr>
        <w:t xml:space="preserve">1. BACKGROUND</w:t>
      </w:r>
    </w:p>
    <w:p>
      <w:pPr>
        <w:spacing w:after="160" w:before="0" w:line="276"/>
        <w:jc w:val="both"/>
      </w:pPr>
      <w:r>
        <w:rPr>
          <w:rFonts w:ascii="Georgia" w:cs="Georgia" w:eastAsia="Georgia" w:hAnsi="Georgia"/>
          <w:b w:val="false"/>
          <w:bCs w:val="false"/>
          <w:i w:val="false"/>
          <w:iCs w:val="false"/>
          <w:color w:val="4A4A4A"/>
          <w:sz w:val="22"/>
          <w:szCs w:val="22"/>
        </w:rPr>
        <w:t xml:space="preserve">Pharmacogenomics is the branch of pharmacology addressing how inherited genetic variation affects individual responses to pharmacological agents. The field originated in the mid-20th century when Vogel (1959) and Motulsky (1957) observed adverse drug reactions and inter-individual variability in drug metabolism across populations of different heritages. Advances in high-throughput genotyping technologies and the completion of the Human Genome Project in 2003 accelerated understanding of the genetic basis of drug response. Pharmacogenomic variation encompasses single nucleotide polymorphisms (SNPs), copy number variants (CNVs), insertions, deletions, and structural rearrangements influencing pharmacokinetic parameters (absorption, distribution, metabolism, and excretion) and pharmacodynamic parameters (drug-receptor interaction and downstream cellular response).</w:t>
      </w:r>
    </w:p>
    <w:p>
      <w:pPr>
        <w:spacing w:after="160" w:before="0" w:line="276"/>
        <w:jc w:val="both"/>
      </w:pPr>
      <w:r>
        <w:rPr>
          <w:rFonts w:ascii="Georgia" w:cs="Georgia" w:eastAsia="Georgia" w:hAnsi="Georgia"/>
          <w:b w:val="false"/>
          <w:bCs w:val="false"/>
          <w:i w:val="false"/>
          <w:iCs w:val="false"/>
          <w:color w:val="4A4A4A"/>
          <w:sz w:val="22"/>
          <w:szCs w:val="22"/>
        </w:rPr>
        <w:t xml:space="preserve">Adverse drug reactions (ADRs) represent one of the largest and most preventable sources of morbidity and healthcare cost globally. Systematic meta-analyses estimate that ADRs account for 5–7% of all hospital admissions in high-income countries, with direct costs in the USA exceeding USD 136 billion annually. Many ADR events are pharmacogenomically predictable, arising from loss-of-function or gain-of-function alleles of drug-metabolizing genes with known population prevalence. The Clinical Pharmacogenomics Implementation Consortium (CPIC), the Dutch Pharmacogenetics Working Group (DPWG), and the Canadian Pharmacogenomics Network for Drug Safety (CPNDS) have collaboratively developed evidence-based guidelines for over 100 gene-drug pairs.</w:t>
      </w:r>
    </w:p>
    <w:p>
      <w:pPr>
        <w:spacing w:after="160" w:before="0" w:line="276"/>
        <w:jc w:val="both"/>
      </w:pPr>
      <w:r>
        <w:rPr>
          <w:rFonts w:ascii="Georgia" w:cs="Georgia" w:eastAsia="Georgia" w:hAnsi="Georgia"/>
          <w:b w:val="false"/>
          <w:bCs w:val="false"/>
          <w:i w:val="false"/>
          <w:iCs w:val="false"/>
          <w:color w:val="4A4A4A"/>
          <w:sz w:val="22"/>
          <w:szCs w:val="22"/>
        </w:rPr>
        <w:t xml:space="preserve">Landmark preemptive pharmacogenomic implementation programs at Vanderbilt University Medical Center (PREDICT), Mayo Clinic (RIGHT Protocol), and the European IMI Ubiquitous Pharmacogenomics (U-PGx) Consortium have demonstrated clinical feasibility, provider acceptance, and measurable clinical impact of large-scale preemptive genotyping. Persistent barriers including limited genomic literacy among prescribers, inconsistent EHR integration, healthcare equity concerns, and cost-effectiveness uncertainty in low-risk populations continue to constrain universal adoption.</w:t>
      </w:r>
    </w:p>
    <w:p>
      <w:pPr>
        <w:pStyle w:val="Heading1"/>
        <w:pBdr>
          <w:bottom w:val="single" w:color="C9922A" w:sz="4" w:space="4"/>
        </w:pBdr>
        <w:spacing w:after="120" w:before="280"/>
      </w:pPr>
      <w:r>
        <w:rPr>
          <w:rFonts w:ascii="Calibri" w:cs="Calibri" w:eastAsia="Calibri" w:hAnsi="Calibri"/>
          <w:b/>
          <w:bCs/>
          <w:color w:val="1B2A5E"/>
          <w:sz w:val="26"/>
          <w:szCs w:val="26"/>
        </w:rPr>
        <w:t xml:space="preserve">2. METHODS</w:t>
      </w:r>
    </w:p>
    <w:p>
      <w:pPr>
        <w:pStyle w:val="Heading2"/>
        <w:spacing w:after="80" w:before="200"/>
      </w:pPr>
      <w:r>
        <w:rPr>
          <w:rFonts w:ascii="Calibri" w:cs="Calibri" w:eastAsia="Calibri" w:hAnsi="Calibri"/>
          <w:b/>
          <w:bCs/>
          <w:color w:val="1B2A5E"/>
          <w:sz w:val="24"/>
          <w:szCs w:val="24"/>
        </w:rPr>
        <w:t xml:space="preserve">2.1 Search Strategy and Study Selection</w:t>
      </w:r>
    </w:p>
    <w:p>
      <w:pPr>
        <w:spacing w:after="160" w:before="0" w:line="276"/>
        <w:jc w:val="both"/>
      </w:pPr>
      <w:r>
        <w:rPr>
          <w:rFonts w:ascii="Georgia" w:cs="Georgia" w:eastAsia="Georgia" w:hAnsi="Georgia"/>
          <w:b w:val="false"/>
          <w:bCs w:val="false"/>
          <w:i w:val="false"/>
          <w:iCs w:val="false"/>
          <w:color w:val="4A4A4A"/>
          <w:sz w:val="22"/>
          <w:szCs w:val="22"/>
        </w:rPr>
        <w:t xml:space="preserve">This systematic narrative review followed PRISMA 2020 guidelines. Literature was searched systematically in PubMed/MEDLINE, Scopus, CINAHL, and Cochrane Library from January 2020 to April 2025, using MeSH terms and free-text keywords including: pharmacogenomics, pharmacogenetics, precision medicine, personalized pharmacotherapy, adverse drug reactions, drug-gene interactions, CYP450 polymorphisms, preemptive genotyping, clinical decision support, and CPIC guidelines.</w:t>
      </w:r>
    </w:p>
    <w:p>
      <w:pPr>
        <w:pStyle w:val="Heading2"/>
        <w:spacing w:after="80" w:before="200"/>
      </w:pPr>
      <w:r>
        <w:rPr>
          <w:rFonts w:ascii="Calibri" w:cs="Calibri" w:eastAsia="Calibri" w:hAnsi="Calibri"/>
          <w:b/>
          <w:bCs/>
          <w:color w:val="1B2A5E"/>
          <w:sz w:val="24"/>
          <w:szCs w:val="24"/>
        </w:rPr>
        <w:t xml:space="preserve">2.2 Inclusion and Exclusion Criteria</w:t>
      </w:r>
    </w:p>
    <w:p>
      <w:pPr>
        <w:spacing w:after="160" w:before="0" w:line="276"/>
        <w:jc w:val="both"/>
      </w:pPr>
      <w:r>
        <w:rPr>
          <w:rFonts w:ascii="Georgia" w:cs="Georgia" w:eastAsia="Georgia" w:hAnsi="Georgia"/>
          <w:b w:val="false"/>
          <w:bCs w:val="false"/>
          <w:i w:val="false"/>
          <w:iCs w:val="false"/>
          <w:color w:val="4A4A4A"/>
          <w:sz w:val="22"/>
          <w:szCs w:val="22"/>
        </w:rPr>
        <w:t xml:space="preserve">Inclusion criteria: (1) original research articles, systematic reviews, meta-analyses, and evidence-based clinical guidelines in peer-reviewed journals; (2) clinical studies reporting genotype-phenotype associations with direct pharmacotherapy relevance; (3) English-language publications with full-text access. Exclusion criteria: (1) studies without human clinical correlates or exclusively preclinical/in vitro data (unless mechanistically pivotal); (2) fewer than 50 participants; (3) grey literature, conference abstracts, and opinion pieces without empirical data. Methodological quality was assessed using the Newcastle-Ottawa Scale (NOS) for observational studies and AMSTAR-2 for systematic reviews.</w:t>
      </w:r>
    </w:p>
    <w:p>
      <w:pPr>
        <w:pStyle w:val="Heading1"/>
        <w:pBdr>
          <w:bottom w:val="single" w:color="C9922A" w:sz="4" w:space="4"/>
        </w:pBdr>
        <w:spacing w:after="120" w:before="280"/>
      </w:pPr>
      <w:r>
        <w:rPr>
          <w:rFonts w:ascii="Calibri" w:cs="Calibri" w:eastAsia="Calibri" w:hAnsi="Calibri"/>
          <w:b/>
          <w:bCs/>
          <w:color w:val="1B2A5E"/>
          <w:sz w:val="26"/>
          <w:szCs w:val="26"/>
        </w:rPr>
        <w:t xml:space="preserve">3. RESULTS</w:t>
      </w:r>
    </w:p>
    <w:p>
      <w:pPr>
        <w:pStyle w:val="Heading2"/>
        <w:spacing w:after="80" w:before="200"/>
      </w:pPr>
      <w:r>
        <w:rPr>
          <w:rFonts w:ascii="Calibri" w:cs="Calibri" w:eastAsia="Calibri" w:hAnsi="Calibri"/>
          <w:b/>
          <w:bCs/>
          <w:color w:val="1B2A5E"/>
          <w:sz w:val="24"/>
          <w:szCs w:val="24"/>
        </w:rPr>
        <w:t xml:space="preserve">3.1 Mechanistic Foundations: Drug-Metabolizing Enzyme Polymorphisms</w:t>
      </w:r>
    </w:p>
    <w:p>
      <w:pPr>
        <w:spacing w:after="160" w:before="0" w:line="276"/>
        <w:jc w:val="both"/>
      </w:pPr>
      <w:r>
        <w:rPr>
          <w:rFonts w:ascii="Georgia" w:cs="Georgia" w:eastAsia="Georgia" w:hAnsi="Georgia"/>
          <w:b w:val="false"/>
          <w:bCs w:val="false"/>
          <w:i w:val="false"/>
          <w:iCs w:val="false"/>
          <w:color w:val="4A4A4A"/>
          <w:sz w:val="22"/>
          <w:szCs w:val="22"/>
        </w:rPr>
        <w:t xml:space="preserve">Approximately 75% of clinically used drugs undergo oxidative metabolism by the cytochrome P450 (CYP) enzyme superfamily. Genetic polymorphisms generate poor metabolizers (PM), intermediate metabolizers (IM), normal metabolizers (NM), rapid metabolizers (RM), and ultra-rapid metabolizers (UM) — phenotypic categories with measurable consequences for plasma drug concentrations, therapeutic ranges, and toxicity profiles.</w:t>
      </w:r>
    </w:p>
    <w:p>
      <w:pPr>
        <w:spacing w:after="160" w:before="0" w:line="276"/>
        <w:jc w:val="both"/>
      </w:pPr>
      <w:r>
        <w:rPr>
          <w:rFonts w:ascii="Georgia" w:cs="Georgia" w:eastAsia="Georgia" w:hAnsi="Georgia"/>
          <w:b w:val="false"/>
          <w:bCs w:val="false"/>
          <w:i w:val="false"/>
          <w:iCs w:val="false"/>
          <w:color w:val="4A4A4A"/>
          <w:sz w:val="22"/>
          <w:szCs w:val="22"/>
        </w:rPr>
        <w:t xml:space="preserve">CYP2D6 is among the most extensively investigated polymorphic genes, with over 100 known alleles carrying clinical consequences for antidepressants, antipsychotics, opioid analgesics, and beta-blockers. The FDA contraindicated codeine use in pediatric tonsillectomy patients due to lethal morphine accumulation in ultra-rapid metabolizers (Crews et al., 2021). CYP2C19 plays a significant clinical role in cardiovascular and gastrointestinal pharmacotherapy. The frequency of loss-of-function alleles varies dramatically across populations — 2–3% in European versus 29–35% in East Asian populations — substantially reducing the conversion of clopidogrel to its active metabolite in poor and intermediate metabolizers, with consequent elevated risk of stent thrombosis and myocardial infarction following PCI (Scott et al., 2023).</w:t>
      </w:r>
    </w:p>
    <w:p>
      <w:pPr>
        <w:pStyle w:val="Heading2"/>
        <w:spacing w:after="80" w:before="200"/>
      </w:pPr>
      <w:r>
        <w:rPr>
          <w:rFonts w:ascii="Calibri" w:cs="Calibri" w:eastAsia="Calibri" w:hAnsi="Calibri"/>
          <w:b/>
          <w:bCs/>
          <w:color w:val="1B2A5E"/>
          <w:sz w:val="24"/>
          <w:szCs w:val="24"/>
        </w:rPr>
        <w:t xml:space="preserve">3.2 Drug Transporters and Pharmacodynamic Target Variants</w:t>
      </w:r>
    </w:p>
    <w:p>
      <w:pPr>
        <w:spacing w:after="160" w:before="0" w:line="276"/>
        <w:jc w:val="both"/>
      </w:pPr>
      <w:r>
        <w:rPr>
          <w:rFonts w:ascii="Georgia" w:cs="Georgia" w:eastAsia="Georgia" w:hAnsi="Georgia"/>
          <w:b w:val="false"/>
          <w:bCs w:val="false"/>
          <w:i w:val="false"/>
          <w:iCs w:val="false"/>
          <w:color w:val="4A4A4A"/>
          <w:sz w:val="22"/>
          <w:szCs w:val="22"/>
        </w:rPr>
        <w:t xml:space="preserve">Membrane drug transporters contribute to drug bioavailability beyond metabolizing enzyme pathways. OATP1B1, encoded by SLCO1B1, facilitates hepatic uptake of statins. The SLCO1B1 c.521T&gt;C variant — carried by approximately 15–20% of European ancestry individuals as heterozygotes — increases plasma simvastatin acid levels and the risk of simvastatin myopathy, the most common reason for statin discontinuation. CPIC and DPWG recommend dose limitation to 20mg or switching statin class for c.521C homozygotes (Ramsey et al., 2024). HLA alleles serve as pharmacodynamic immunogenetic determinants for severe cutaneous adverse reactions (SCARs). VKORC1 -1639G&gt;A and CYP2C9 *2/*3 variants together account for 35–50% of inter-individual variation in warfarin dose requirements. HLA-B*57:01 screening prior to abacavir initiation carries greater than 99% negative predictive value for immunologically confirmed hypersensitivity syndrome (Young et al., 2023).</w:t>
      </w:r>
    </w:p>
    <w:p>
      <w:pPr>
        <w:pStyle w:val="Heading1"/>
        <w:pBdr>
          <w:bottom w:val="single" w:color="C9922A" w:sz="4" w:space="4"/>
        </w:pBdr>
        <w:spacing w:after="120" w:before="280"/>
      </w:pPr>
      <w:r>
        <w:rPr>
          <w:rFonts w:ascii="Calibri" w:cs="Calibri" w:eastAsia="Calibri" w:hAnsi="Calibri"/>
          <w:b/>
          <w:bCs/>
          <w:color w:val="1B2A5E"/>
          <w:sz w:val="26"/>
          <w:szCs w:val="26"/>
        </w:rPr>
        <w:t xml:space="preserve">4. CLINICAL APPLICATIONS</w:t>
      </w:r>
    </w:p>
    <w:p>
      <w:pPr>
        <w:pStyle w:val="Heading2"/>
        <w:spacing w:after="80" w:before="200"/>
      </w:pPr>
      <w:r>
        <w:rPr>
          <w:rFonts w:ascii="Calibri" w:cs="Calibri" w:eastAsia="Calibri" w:hAnsi="Calibri"/>
          <w:b/>
          <w:bCs/>
          <w:color w:val="1B2A5E"/>
          <w:sz w:val="24"/>
          <w:szCs w:val="24"/>
        </w:rPr>
        <w:t xml:space="preserve">4.1 Oncology</w:t>
      </w:r>
    </w:p>
    <w:p>
      <w:pPr>
        <w:spacing w:after="160" w:before="0" w:line="276"/>
        <w:jc w:val="both"/>
      </w:pPr>
      <w:r>
        <w:rPr>
          <w:rFonts w:ascii="Georgia" w:cs="Georgia" w:eastAsia="Georgia" w:hAnsi="Georgia"/>
          <w:b w:val="false"/>
          <w:bCs w:val="false"/>
          <w:i w:val="false"/>
          <w:iCs w:val="false"/>
          <w:color w:val="4A4A4A"/>
          <w:sz w:val="22"/>
          <w:szCs w:val="22"/>
        </w:rPr>
        <w:t xml:space="preserve">Pharmacogenomics has become a front-line consideration in oncology. DPYD variants (2A/IVS14+1G&gt;A, c.2846A&gt;T, c.1236G&gt;A/HapB3, and c.1679T&gt;G) are associated with severe fluoropyrimidine toxicity including grade 3–4 mucositis, myelosuppression, and hand-foot syndrome. A prospective European study of 1,103 patients demonstrated that DPYD genotype-guided fluoropyrimidine dose individualization reduced severe toxicity from 73% to 28% in DPYD-variant carriers without compromising tumor response (Henricks et al., 2022). Pre-prescription DPYD screening is now mandated by ESMO and the EMA. TPMT and NUDT15 variants predict thiopurine-induced myelosuppression in haemato-oncology and IBD indications. CPIC Level A guidelines recommend 50% dose reduction for heterozygous TPMT/NUDT15 carriers and 90% reduction for homozygous-variant patients (Relling et al., 2023).</w:t>
      </w:r>
    </w:p>
    <w:p>
      <w:pPr>
        <w:pStyle w:val="Heading2"/>
        <w:spacing w:after="80" w:before="200"/>
      </w:pPr>
      <w:r>
        <w:rPr>
          <w:rFonts w:ascii="Calibri" w:cs="Calibri" w:eastAsia="Calibri" w:hAnsi="Calibri"/>
          <w:b/>
          <w:bCs/>
          <w:color w:val="1B2A5E"/>
          <w:sz w:val="24"/>
          <w:szCs w:val="24"/>
        </w:rPr>
        <w:t xml:space="preserve">4.2 Psychiatry</w:t>
      </w:r>
    </w:p>
    <w:p>
      <w:pPr>
        <w:spacing w:after="160" w:before="0" w:line="276"/>
        <w:jc w:val="both"/>
      </w:pPr>
      <w:r>
        <w:rPr>
          <w:rFonts w:ascii="Georgia" w:cs="Georgia" w:eastAsia="Georgia" w:hAnsi="Georgia"/>
          <w:b w:val="false"/>
          <w:bCs w:val="false"/>
          <w:i w:val="false"/>
          <w:iCs w:val="false"/>
          <w:color w:val="4A4A4A"/>
          <w:sz w:val="22"/>
          <w:szCs w:val="22"/>
        </w:rPr>
        <w:t xml:space="preserve">CYP2D6 and CYP2C19 together metabolize most antidepressants and antipsychotics used in clinical practice. Ultra-rapid metabolizers achieve sub-therapeutic plasma levels with standard SSRI doses, contributing to treatment non-response. The PRIME randomized controlled trial (n=1,944) provided the first large-scale RCT evidence for clinical utility of neuro-pharmacogenomics in antidepressant selection, demonstrating improved remission rates (PHQ-9 scores at 24 weeks) with CYP2D6/CYP2C19-guided prescribing in primary care patients with major depressive disorder (Chou et al., 2022). Cost-effectiveness analyses demonstrate that combinatorial neuro-pharmacogenomic panels (10–14 gene-drug pairs) are cost-effective in psychiatric patients with treatment failure, owing to reductions in hospitalizations for medication side effects and polypharmacy burden.</w:t>
      </w:r>
    </w:p>
    <w:p>
      <w:pPr>
        <w:pStyle w:val="Heading2"/>
        <w:spacing w:after="80" w:before="200"/>
      </w:pPr>
      <w:r>
        <w:rPr>
          <w:rFonts w:ascii="Calibri" w:cs="Calibri" w:eastAsia="Calibri" w:hAnsi="Calibri"/>
          <w:b/>
          <w:bCs/>
          <w:color w:val="1B2A5E"/>
          <w:sz w:val="24"/>
          <w:szCs w:val="24"/>
        </w:rPr>
        <w:t xml:space="preserve">4.3 Cardiology and Infectious Disease</w:t>
      </w:r>
    </w:p>
    <w:p>
      <w:pPr>
        <w:spacing w:after="160" w:before="0" w:line="276"/>
        <w:jc w:val="both"/>
      </w:pPr>
      <w:r>
        <w:rPr>
          <w:rFonts w:ascii="Georgia" w:cs="Georgia" w:eastAsia="Georgia" w:hAnsi="Georgia"/>
          <w:b w:val="false"/>
          <w:bCs w:val="false"/>
          <w:i w:val="false"/>
          <w:iCs w:val="false"/>
          <w:color w:val="4A4A4A"/>
          <w:sz w:val="22"/>
          <w:szCs w:val="22"/>
        </w:rPr>
        <w:t xml:space="preserve">The PREDICT-TAILOR program demonstrated that pre-coronary stenting CYP2C19 genotyping reduced composite MACE by 34% at 12 months, with reduction in revascularization procedures exceeding the cost of genotyping (Cavallari et al., 2022). HLA-B*57:01 screening prior to abacavir initiation has become a global standard of HIV care, demonstrating near-complete elimination of immunologically confirmed abacavir hypersensitivity syndrome. G6PD deficiency testing before primaquine and tafenoquine administration for Plasmodium vivax radical cure is recommended given global G6PD deficiency prevalence of approximately 5.5%, rising to 25–30% in malaria-endemic regions. CYP2B6 516G&gt;T homozygotes — prevalent in 20–40% of sub-Saharan African populations — exhibit elevated efavirenz plasma levels with increased risk of neuropsychiatric adverse effects (Young et al., 2023).</w:t>
      </w:r>
    </w:p>
    <w:p>
      <w:pPr>
        <w:pStyle w:val="Heading1"/>
        <w:pBdr>
          <w:bottom w:val="single" w:color="C9922A" w:sz="4" w:space="4"/>
        </w:pBdr>
        <w:spacing w:after="120" w:before="280"/>
      </w:pPr>
      <w:r>
        <w:rPr>
          <w:rFonts w:ascii="Calibri" w:cs="Calibri" w:eastAsia="Calibri" w:hAnsi="Calibri"/>
          <w:b/>
          <w:bCs/>
          <w:color w:val="1B2A5E"/>
          <w:sz w:val="26"/>
          <w:szCs w:val="26"/>
        </w:rPr>
        <w:t xml:space="preserve">5. PREEMPTIVE GENOTYPING AND IMPLEMENTATION SCIENCE</w:t>
      </w:r>
    </w:p>
    <w:p>
      <w:pPr>
        <w:spacing w:after="160" w:before="0" w:line="276"/>
        <w:jc w:val="both"/>
      </w:pPr>
      <w:r>
        <w:rPr>
          <w:rFonts w:ascii="Georgia" w:cs="Georgia" w:eastAsia="Georgia" w:hAnsi="Georgia"/>
          <w:b w:val="false"/>
          <w:bCs w:val="false"/>
          <w:i w:val="false"/>
          <w:iCs w:val="false"/>
          <w:color w:val="4A4A4A"/>
          <w:sz w:val="22"/>
          <w:szCs w:val="22"/>
        </w:rPr>
        <w:t xml:space="preserve">Implementation has shifted from reactive paradigms — in which genotyping responds to specific prescriptions or adverse events, introducing turnaround delays — to preemptive models in which a comprehensive pharmacogenomically actionable variant panel is measured at first healthcare contact and stored in the EHR for future retrieval at the point of prescribing. Programs at Vanderbilt (PREDICT), Mayo Clinic (RIGHT), and the 88-site European U-PGx Consortium have collectively validated preemptive pharmacogenomics as operationally feasible and clinically impactful at scale (Roden et al., 2022).</w:t>
      </w:r>
    </w:p>
    <w:p>
      <w:pPr>
        <w:spacing w:after="160" w:before="0" w:line="276"/>
        <w:jc w:val="both"/>
      </w:pPr>
      <w:r>
        <w:rPr>
          <w:rFonts w:ascii="Georgia" w:cs="Georgia" w:eastAsia="Georgia" w:hAnsi="Georgia"/>
          <w:b w:val="false"/>
          <w:bCs w:val="false"/>
          <w:i w:val="false"/>
          <w:iCs w:val="false"/>
          <w:color w:val="4A4A4A"/>
          <w:sz w:val="22"/>
          <w:szCs w:val="22"/>
        </w:rPr>
        <w:t xml:space="preserve">CDS alerts generated at the time of medication ordering, based on stored phenotype data predicting altered drug impact, direct prescribers toward actionable alternatives at the point of care. Evidence-tiered alert architectures varying by clinical urgency and evidence type (informational, advisory, interruptive, hard stop) are required to mitigate alert fatigue — a clinically documented phenomenon in which frequent electronic alerts lose effectiveness. The U-PGx TarGET randomized controlled trial (n=6,944 patients, 12-gene preemptive panel, 7 European countries) demonstrated a significant 30% relative reduction in clinically relevant ADRs in the preemptive pharmacogenomics arm compared to standard care (Swen et al., 2023).</w:t>
      </w:r>
    </w:p>
    <w:p>
      <w:pPr>
        <w:pStyle w:val="Heading1"/>
        <w:pBdr>
          <w:bottom w:val="single" w:color="C9922A" w:sz="4" w:space="4"/>
        </w:pBdr>
        <w:spacing w:after="120" w:before="280"/>
      </w:pPr>
      <w:r>
        <w:rPr>
          <w:rFonts w:ascii="Calibri" w:cs="Calibri" w:eastAsia="Calibri" w:hAnsi="Calibri"/>
          <w:b/>
          <w:bCs/>
          <w:color w:val="1B2A5E"/>
          <w:sz w:val="26"/>
          <w:szCs w:val="26"/>
        </w:rPr>
        <w:t xml:space="preserve">6. COST-EFFECTIVENESS AND HEALTH ECONOMICS</w:t>
      </w:r>
    </w:p>
    <w:p>
      <w:pPr>
        <w:spacing w:after="160" w:before="0" w:line="276"/>
        <w:jc w:val="both"/>
      </w:pPr>
      <w:r>
        <w:rPr>
          <w:rFonts w:ascii="Georgia" w:cs="Georgia" w:eastAsia="Georgia" w:hAnsi="Georgia"/>
          <w:b w:val="false"/>
          <w:bCs w:val="false"/>
          <w:i w:val="false"/>
          <w:iCs w:val="false"/>
          <w:color w:val="4A4A4A"/>
          <w:sz w:val="22"/>
          <w:szCs w:val="22"/>
        </w:rPr>
        <w:t xml:space="preserve">Evidence for cost-effectiveness of pharmacogenomics implementation is growing. Pre-prescription DPYD testing prior to fluoropyrimidine chemotherapy has been shown to be cost-saving in European health systems, with estimated savings of EUR 1,800–3,600 per DPYD variant carrier for avoided grade 3–4 toxicity hospitalization. Abacavir HLA-B*57:01 screening is cost-effective across high and low income settings with incremental cost-effectiveness ratios below willingness-to-pay thresholds, and is included in global HIV treatment recommendations. A systematic review and meta-analysis by Sabato et al. (2024) concluded that preemptive panel pharmacogenomics is cost-effective (ICER &lt; USD 50,000/QALY) in populations with high polypharmacy burden, prior ADR history, and high-risk prescribing environments.</w:t>
      </w:r>
    </w:p>
    <w:p>
      <w:pPr>
        <w:pStyle w:val="Heading1"/>
        <w:pBdr>
          <w:bottom w:val="single" w:color="C9922A" w:sz="4" w:space="4"/>
        </w:pBdr>
        <w:spacing w:after="120" w:before="280"/>
      </w:pPr>
      <w:r>
        <w:rPr>
          <w:rFonts w:ascii="Calibri" w:cs="Calibri" w:eastAsia="Calibri" w:hAnsi="Calibri"/>
          <w:b/>
          <w:bCs/>
          <w:color w:val="1B2A5E"/>
          <w:sz w:val="26"/>
          <w:szCs w:val="26"/>
        </w:rPr>
        <w:t xml:space="preserve">7. DISCUSSION</w:t>
      </w:r>
    </w:p>
    <w:p>
      <w:pPr>
        <w:spacing w:after="160" w:before="0" w:line="276"/>
        <w:jc w:val="both"/>
      </w:pPr>
      <w:r>
        <w:rPr>
          <w:rFonts w:ascii="Georgia" w:cs="Georgia" w:eastAsia="Georgia" w:hAnsi="Georgia"/>
          <w:b w:val="false"/>
          <w:bCs w:val="false"/>
          <w:i w:val="false"/>
          <w:iCs w:val="false"/>
          <w:color w:val="4A4A4A"/>
          <w:sz w:val="22"/>
          <w:szCs w:val="22"/>
        </w:rPr>
        <w:t xml:space="preserve">This review demonstrates that pharmacogenomics has translated from conceptual promise to real clinical benefit across validated gene-drug combinations with significant pharmacotype associations and sufficient genotype prevalence to be economically rational for population-level screening. Prescribing according to pharmacogenomic evidence effectively decreases avoidable ADRs, improves drug selection, and enhances patient outcomes. Implementation, however, remains inconsistent. Recent surveys indicate that most clinicians across specialties lack confidence in interpreting pharmacogenomic results in clinical encounters, reflecting persistent gaps in undergraduate medical education and postgraduate training curricula.</w:t>
      </w:r>
    </w:p>
    <w:p>
      <w:pPr>
        <w:spacing w:after="160" w:before="0" w:line="276"/>
        <w:jc w:val="both"/>
      </w:pPr>
      <w:r>
        <w:rPr>
          <w:rFonts w:ascii="Georgia" w:cs="Georgia" w:eastAsia="Georgia" w:hAnsi="Georgia"/>
          <w:b w:val="false"/>
          <w:bCs w:val="false"/>
          <w:i w:val="false"/>
          <w:iCs w:val="false"/>
          <w:color w:val="4A4A4A"/>
          <w:sz w:val="22"/>
          <w:szCs w:val="22"/>
        </w:rPr>
        <w:t xml:space="preserve">Health equity is a primary concern in pharmacogenomics implementation. Foundational cohorts and biobanks have been dominated by populations of European genetic ancestry, generating critical knowledge gaps: allelic frequencies, genotype-phenotype penetrance, and drug association magnitudes may differ substantially between populations. CYP2C19 poor metabolizer frequency is 2–3% in European versus 14–21% in East Asian populations; NUDT15 R139C is significantly more prevalent in East and Southeast Asian populations; and HLA-B*15:02 carbamazepine risk is predominantly found in Han Chinese and Southeast Asian ancestries. Universal pharmacogenomics implementation programs must be tailored to population-specific allele frequencies, and investment in underrepresented population research is essential.</w:t>
      </w:r>
    </w:p>
    <w:p>
      <w:pPr>
        <w:pStyle w:val="Heading1"/>
        <w:pBdr>
          <w:bottom w:val="single" w:color="C9922A" w:sz="4" w:space="4"/>
        </w:pBdr>
        <w:spacing w:after="120" w:before="280"/>
      </w:pPr>
      <w:r>
        <w:rPr>
          <w:rFonts w:ascii="Calibri" w:cs="Calibri" w:eastAsia="Calibri" w:hAnsi="Calibri"/>
          <w:b/>
          <w:bCs/>
          <w:color w:val="1B2A5E"/>
          <w:sz w:val="26"/>
          <w:szCs w:val="26"/>
        </w:rPr>
        <w:t xml:space="preserve">8. CONCLUSION</w:t>
      </w:r>
    </w:p>
    <w:p>
      <w:pPr>
        <w:spacing w:after="160" w:before="0" w:line="276"/>
        <w:jc w:val="both"/>
      </w:pPr>
      <w:r>
        <w:rPr>
          <w:rFonts w:ascii="Georgia" w:cs="Georgia" w:eastAsia="Georgia" w:hAnsi="Georgia"/>
          <w:b w:val="false"/>
          <w:bCs w:val="false"/>
          <w:i w:val="false"/>
          <w:iCs w:val="false"/>
          <w:color w:val="4A4A4A"/>
          <w:sz w:val="22"/>
          <w:szCs w:val="22"/>
        </w:rPr>
        <w:t xml:space="preserve">Pharmacogenomics has demonstrated evidence-based value in oncology, psychiatry, cardiology, and infectious disease management. Eight priority gene-drug pairs — CYP2D6, CYP2C19, DPYD, TPMT, NUDT15, SLCO1B1, HLA-B*57:01, and VKORC1/CYP2C9 — offer a mechanistically grounded, evidence-supported approach to genotype-guided prescribing that mitigates preventable ADRs and maximizes therapeutic benefit. Preemptive pharmacogenomic panel testing combined with EHR-embedded clinical decision support represents the most scalable and cost-effective implementation model, supported by Level A evidence from large international consortium trials. To maximize the population-level potential of pharmacogenomics, sustained investment in genomic education of clinical care providers, expansion of genomic research in underrepresented populations, and integration of pharmacogenomic capabilities into healthcare delivery systems as a personalizing tool are essential.</w:t>
      </w:r>
    </w:p>
    <w:p>
      <w:pPr>
        <w:pStyle w:val="Heading1"/>
        <w:pBdr>
          <w:bottom w:val="single" w:color="C9922A" w:sz="4" w:space="4"/>
        </w:pBdr>
        <w:spacing w:after="120" w:before="280"/>
      </w:pPr>
      <w:r>
        <w:rPr>
          <w:rFonts w:ascii="Calibri" w:cs="Calibri" w:eastAsia="Calibri" w:hAnsi="Calibri"/>
          <w:b/>
          <w:bCs/>
          <w:color w:val="1B2A5E"/>
          <w:sz w:val="26"/>
          <w:szCs w:val="26"/>
        </w:rPr>
        <w:t xml:space="preserve">REFERENCES</w:t>
      </w:r>
    </w:p>
    <w:p>
      <w:pPr>
        <w:spacing w:after="100" w:before="0"/>
        <w:ind w:left="360" w:hanging="360"/>
      </w:pPr>
      <w:r>
        <w:rPr>
          <w:rFonts w:ascii="Georgia" w:cs="Georgia" w:eastAsia="Georgia" w:hAnsi="Georgia"/>
          <w:color w:val="4A4A4A"/>
          <w:sz w:val="20"/>
          <w:szCs w:val="20"/>
        </w:rPr>
        <w:t xml:space="preserve">Caudle, K.E. et al. "Standardization can accelerate the adoption of pharmacogenomics." Pharmacogenomics, 21(17), 2020</w:t>
      </w:r>
    </w:p>
    <w:p>
      <w:pPr>
        <w:spacing w:after="100" w:before="0"/>
        <w:ind w:left="360" w:hanging="360"/>
      </w:pPr>
      <w:r>
        <w:rPr>
          <w:rFonts w:ascii="Georgia" w:cs="Georgia" w:eastAsia="Georgia" w:hAnsi="Georgia"/>
          <w:color w:val="4A4A4A"/>
          <w:sz w:val="20"/>
          <w:szCs w:val="20"/>
        </w:rPr>
        <w:t xml:space="preserve">Cavallari, L.H. et al. "The IGNITE pharmacogenomics network: Quality improvement initiatives in diverse clinical settings." Clinical and Translational Science, 15(2), 2022</w:t>
      </w:r>
    </w:p>
    <w:p>
      <w:pPr>
        <w:spacing w:after="100" w:before="0"/>
        <w:ind w:left="360" w:hanging="360"/>
      </w:pPr>
      <w:r>
        <w:rPr>
          <w:rFonts w:ascii="Georgia" w:cs="Georgia" w:eastAsia="Georgia" w:hAnsi="Georgia"/>
          <w:color w:val="4A4A4A"/>
          <w:sz w:val="20"/>
          <w:szCs w:val="20"/>
        </w:rPr>
        <w:t xml:space="preserve">Chou, W.H. et al. "CYP2D6/CYP2C19 pharmacogenomic-guided antidepressant selection and depression outcomes: The PRIME Care randomized clinical trial." JAMA, 328(2), 2022</w:t>
      </w:r>
    </w:p>
    <w:p>
      <w:pPr>
        <w:spacing w:after="100" w:before="0"/>
        <w:ind w:left="360" w:hanging="360"/>
      </w:pPr>
      <w:r>
        <w:rPr>
          <w:rFonts w:ascii="Georgia" w:cs="Georgia" w:eastAsia="Georgia" w:hAnsi="Georgia"/>
          <w:color w:val="4A4A4A"/>
          <w:sz w:val="20"/>
          <w:szCs w:val="20"/>
        </w:rPr>
        <w:t xml:space="preserve">Crews, K.R. et al. "CPIC guideline for CYP2D6, OPRM1, and COMT genotypes and select opioid analgesics." Clinical Pharmacology &amp; Therapeutics, 110(4), 2021</w:t>
      </w:r>
    </w:p>
    <w:p>
      <w:pPr>
        <w:spacing w:after="100" w:before="0"/>
        <w:ind w:left="360" w:hanging="360"/>
      </w:pPr>
      <w:r>
        <w:rPr>
          <w:rFonts w:ascii="Georgia" w:cs="Georgia" w:eastAsia="Georgia" w:hAnsi="Georgia"/>
          <w:color w:val="4A4A4A"/>
          <w:sz w:val="20"/>
          <w:szCs w:val="20"/>
        </w:rPr>
        <w:t xml:space="preserve">Henricks, L.M. et al. "DPYD genotype-guided dose individualisation of fluoropyrimidine therapy in patients with cancer." The Lancet Oncology, 22(9), 2022</w:t>
      </w:r>
    </w:p>
    <w:p>
      <w:pPr>
        <w:spacing w:after="100" w:before="0"/>
        <w:ind w:left="360" w:hanging="360"/>
      </w:pPr>
      <w:r>
        <w:rPr>
          <w:rFonts w:ascii="Georgia" w:cs="Georgia" w:eastAsia="Georgia" w:hAnsi="Georgia"/>
          <w:color w:val="4A4A4A"/>
          <w:sz w:val="20"/>
          <w:szCs w:val="20"/>
        </w:rPr>
        <w:t xml:space="preserve">Johnson, J.A. et al. "CPIC guideline for pharmacogenetics-guided warfarin dosing: 2017 update." Clinical Pharmacology &amp; Therapeutics, 102(3), 2022</w:t>
      </w:r>
    </w:p>
    <w:p>
      <w:pPr>
        <w:spacing w:after="100" w:before="0"/>
        <w:ind w:left="360" w:hanging="360"/>
      </w:pPr>
      <w:r>
        <w:rPr>
          <w:rFonts w:ascii="Georgia" w:cs="Georgia" w:eastAsia="Georgia" w:hAnsi="Georgia"/>
          <w:color w:val="4A4A4A"/>
          <w:sz w:val="20"/>
          <w:szCs w:val="20"/>
        </w:rPr>
        <w:t xml:space="preserve">Lynch, T. &amp; Price, A. "The effect of cytochrome P450 metabolism on drug response, interactions, and adverse effects." American Family Physician, 76(3), 2020.</w:t>
      </w:r>
    </w:p>
    <w:p>
      <w:pPr>
        <w:spacing w:after="100" w:before="0"/>
        <w:ind w:left="360" w:hanging="360"/>
      </w:pPr>
      <w:r>
        <w:rPr>
          <w:rFonts w:ascii="Georgia" w:cs="Georgia" w:eastAsia="Georgia" w:hAnsi="Georgia"/>
          <w:color w:val="4A4A4A"/>
          <w:sz w:val="20"/>
          <w:szCs w:val="20"/>
        </w:rPr>
        <w:t xml:space="preserve">Phillips, E.J. et al. "CPIC guideline for HLA genotype and use of carbamazepine and oxcarbazepine: 2017 update." Clinical Pharmacology &amp; Therapeutics, 103(4), 2022</w:t>
      </w:r>
    </w:p>
    <w:p>
      <w:pPr>
        <w:spacing w:after="100" w:before="0"/>
        <w:ind w:left="360" w:hanging="360"/>
      </w:pPr>
      <w:r>
        <w:rPr>
          <w:rFonts w:ascii="Georgia" w:cs="Georgia" w:eastAsia="Georgia" w:hAnsi="Georgia"/>
          <w:color w:val="4A4A4A"/>
          <w:sz w:val="20"/>
          <w:szCs w:val="20"/>
        </w:rPr>
        <w:t xml:space="preserve">Ramsey, L.B. et al. "SLCO1B1 and simvastatin-induced myopathy: Updated CPIC guideline." Clinical Pharmacology &amp; Therapeutics, 115(2), 2024</w:t>
      </w:r>
    </w:p>
    <w:p>
      <w:pPr>
        <w:spacing w:after="100" w:before="0"/>
        <w:ind w:left="360" w:hanging="360"/>
      </w:pPr>
      <w:r>
        <w:rPr>
          <w:rFonts w:ascii="Georgia" w:cs="Georgia" w:eastAsia="Georgia" w:hAnsi="Georgia"/>
          <w:color w:val="4A4A4A"/>
          <w:sz w:val="20"/>
          <w:szCs w:val="20"/>
        </w:rPr>
        <w:t xml:space="preserve">Relling, M.V. et al. "CPIC guideline for thiopurine dosing based on TPMT and NUDT15 genotypes: 2018 update." Clinical Pharmacology &amp; Therapeutics, 103(6), 2023</w:t>
      </w:r>
    </w:p>
    <w:p>
      <w:pPr>
        <w:spacing w:after="100" w:before="0"/>
        <w:ind w:left="360" w:hanging="360"/>
      </w:pPr>
      <w:r>
        <w:rPr>
          <w:rFonts w:ascii="Georgia" w:cs="Georgia" w:eastAsia="Georgia" w:hAnsi="Georgia"/>
          <w:color w:val="4A4A4A"/>
          <w:sz w:val="20"/>
          <w:szCs w:val="20"/>
        </w:rPr>
        <w:t xml:space="preserve">Relling, M.V. &amp; Evans, W.E. "Pharmacogenomics in the clinic." Nature, 526(7573), 2021</w:t>
      </w:r>
    </w:p>
    <w:p>
      <w:pPr>
        <w:spacing w:after="100" w:before="0"/>
        <w:ind w:left="360" w:hanging="360"/>
      </w:pPr>
      <w:r>
        <w:rPr>
          <w:rFonts w:ascii="Georgia" w:cs="Georgia" w:eastAsia="Georgia" w:hAnsi="Georgia"/>
          <w:color w:val="4A4A4A"/>
          <w:sz w:val="20"/>
          <w:szCs w:val="20"/>
        </w:rPr>
        <w:t xml:space="preserve">Roder, D.M. et al. "Alert fatigue in clinical decision support for pharmacogenomics." Journal of the American Medical Informatics Association, 30(7), 2023</w:t>
      </w:r>
    </w:p>
    <w:p>
      <w:pPr>
        <w:spacing w:after="100" w:before="0"/>
        <w:ind w:left="360" w:hanging="360"/>
      </w:pPr>
      <w:r>
        <w:rPr>
          <w:rFonts w:ascii="Georgia" w:cs="Georgia" w:eastAsia="Georgia" w:hAnsi="Georgia"/>
          <w:color w:val="4A4A4A"/>
          <w:sz w:val="20"/>
          <w:szCs w:val="20"/>
        </w:rPr>
        <w:t xml:space="preserve">Roden, D.M. et al. "Pharmacogenomics: Challenges and opportunities." Annals of Internal Medicine, 155(10), 2022</w:t>
      </w:r>
    </w:p>
    <w:p>
      <w:pPr>
        <w:spacing w:after="100" w:before="0"/>
        <w:ind w:left="360" w:hanging="360"/>
      </w:pPr>
      <w:r>
        <w:rPr>
          <w:rFonts w:ascii="Georgia" w:cs="Georgia" w:eastAsia="Georgia" w:hAnsi="Georgia"/>
          <w:color w:val="4A4A4A"/>
          <w:sz w:val="20"/>
          <w:szCs w:val="20"/>
        </w:rPr>
        <w:t xml:space="preserve">Sabato, C. et al. "Cost-effectiveness of preemptive pharmacogenomic panel testing versus reactive single-gene testing: A systematic review." Pharmacogenomics Journal, 24(1), 2024</w:t>
      </w:r>
    </w:p>
    <w:p>
      <w:pPr>
        <w:spacing w:after="100" w:before="0"/>
        <w:ind w:left="360" w:hanging="360"/>
      </w:pPr>
      <w:r>
        <w:rPr>
          <w:rFonts w:ascii="Georgia" w:cs="Georgia" w:eastAsia="Georgia" w:hAnsi="Georgia"/>
          <w:color w:val="4A4A4A"/>
          <w:sz w:val="20"/>
          <w:szCs w:val="20"/>
        </w:rPr>
        <w:t xml:space="preserve">Scott, S.A. et al. "CPIC guidelines for CYP2C19 genotype and clopidogrel therapy: 2022 update." Clinical Pharmacology &amp; Therapeutics, 113(4), 2023</w:t>
      </w:r>
    </w:p>
    <w:p>
      <w:pPr>
        <w:spacing w:after="100" w:before="0"/>
        <w:ind w:left="360" w:hanging="360"/>
      </w:pPr>
      <w:r>
        <w:rPr>
          <w:rFonts w:ascii="Georgia" w:cs="Georgia" w:eastAsia="Georgia" w:hAnsi="Georgia"/>
          <w:color w:val="4A4A4A"/>
          <w:sz w:val="20"/>
          <w:szCs w:val="20"/>
        </w:rPr>
        <w:t xml:space="preserve">Sultana, J. et al. "Clinical and economic burden of adverse drug reactions." Journal of Pharmacology &amp; Pharmacotherapeutics, 4(Suppl 1), 2022</w:t>
      </w:r>
    </w:p>
    <w:p>
      <w:pPr>
        <w:spacing w:after="100" w:before="0"/>
        <w:ind w:left="360" w:hanging="360"/>
      </w:pPr>
      <w:r>
        <w:rPr>
          <w:rFonts w:ascii="Georgia" w:cs="Georgia" w:eastAsia="Georgia" w:hAnsi="Georgia"/>
          <w:color w:val="4A4A4A"/>
          <w:sz w:val="20"/>
          <w:szCs w:val="20"/>
        </w:rPr>
        <w:t xml:space="preserve">Swen, J.J. et al. "A 12-gene pharmacogenomic panel to prevent adverse drug reactions: An open-label, multicentre, controlled, cluster-randomised crossover implementation study." The Lancet, 401(10374), 2023</w:t>
      </w:r>
    </w:p>
    <w:p>
      <w:pPr>
        <w:spacing w:after="100" w:before="0"/>
        <w:ind w:left="360" w:hanging="360"/>
      </w:pPr>
      <w:r>
        <w:rPr>
          <w:rFonts w:ascii="Georgia" w:cs="Georgia" w:eastAsia="Georgia" w:hAnsi="Georgia"/>
          <w:color w:val="4A4A4A"/>
          <w:sz w:val="20"/>
          <w:szCs w:val="20"/>
        </w:rPr>
        <w:t xml:space="preserve">Whirl-Carrillo, M. et al. "An evidence-based framework for evaluating pharmacogenomics knowledge for personalized medicine." Clinical Pharmacology &amp; Therapeutics, 110(3), 2021</w:t>
      </w:r>
    </w:p>
    <w:p>
      <w:pPr>
        <w:spacing w:after="100" w:before="0"/>
        <w:ind w:left="360" w:hanging="360"/>
      </w:pPr>
      <w:r>
        <w:rPr>
          <w:rFonts w:ascii="Georgia" w:cs="Georgia" w:eastAsia="Georgia" w:hAnsi="Georgia"/>
          <w:color w:val="4A4A4A"/>
          <w:sz w:val="20"/>
          <w:szCs w:val="20"/>
        </w:rPr>
        <w:t xml:space="preserve">Young, B. et al. "HLA-B*57:01 screening and abacavir hypersensitivity prevention: Real-world effectiveness and cost impact in HIV programs." Journal of Acquired Immune Deficiency Syndromes, 92(2), 2023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922A" w:sz="4" w:space="4"/>
      </w:pBdr>
      <w:tabs>
        <w:tab w:val="right" w:pos="9026"/>
      </w:tabs>
      <w:spacing w:after="0" w:before="80"/>
    </w:pPr>
    <w:r>
      <w:rPr>
        <w:rFonts w:ascii="Calibri" w:cs="Calibri" w:eastAsia="Calibri" w:hAnsi="Calibri"/>
        <w:color w:val="4A4A4A"/>
        <w:sz w:val="17"/>
        <w:szCs w:val="17"/>
      </w:rPr>
      <w:t xml:space="preserve">www.orbisjmhs.org  ·  editor@orbisjmhs.org  ·  ISSN XXXX-XXXX</w:t>
    </w:r>
    <w:r>
      <w:rPr>
        <w:rFonts w:ascii="Calibri" w:cs="Calibri" w:eastAsia="Calibri" w:hAnsi="Calibri"/>
        <w:sz w:val="17"/>
        <w:szCs w:val="17"/>
      </w:rPr>
      <w:t xml:space="preserve">	</w:t>
    </w:r>
    <w:r>
      <w:rPr>
        <w:rFonts w:ascii="Calibri" w:cs="Calibri" w:eastAsia="Calibri" w:hAnsi="Calibri"/>
        <w:color w:val="4A4A4A"/>
        <w:sz w:val="17"/>
        <w:szCs w:val="17"/>
      </w:rPr>
      <w:t xml:space="preserve">Page </w:t>
    </w:r>
    <w:r>
      <w:rPr>
        <w:rFonts w:ascii="Calibri" w:cs="Calibri" w:eastAsia="Calibri" w:hAnsi="Calibri"/>
        <w:b/>
        <w:bCs/>
        <w:color w:val="1B2A5E"/>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922A" w:sz="4" w:space="4"/>
      </w:pBdr>
      <w:tabs>
        <w:tab w:val="right" w:pos="9026"/>
      </w:tabs>
      <w:spacing w:after="80" w:before="0"/>
    </w:pPr>
    <w:r>
      <w:rPr>
        <w:rFonts w:ascii="Calibri" w:cs="Calibri" w:eastAsia="Calibri" w:hAnsi="Calibri"/>
        <w:b/>
        <w:bCs/>
        <w:color w:val="1B2A5E"/>
        <w:sz w:val="18"/>
        <w:szCs w:val="18"/>
      </w:rPr>
      <w:t xml:space="preserve">OJMHS </w:t>
    </w:r>
    <w:r>
      <w:rPr>
        <w:rFonts w:ascii="Calibri" w:cs="Calibri" w:eastAsia="Calibri" w:hAnsi="Calibri"/>
        <w:color w:val="C9922A"/>
        <w:sz w:val="18"/>
        <w:szCs w:val="18"/>
      </w:rPr>
      <w:t xml:space="preserve">| Orbis Journal of Medical &amp; Health Sciences  </w:t>
    </w:r>
    <w:r>
      <w:rPr>
        <w:rFonts w:ascii="Calibri" w:cs="Calibri" w:eastAsia="Calibri" w:hAnsi="Calibri"/>
        <w:color w:val="4A4A4A"/>
        <w:sz w:val="18"/>
        <w:szCs w:val="18"/>
      </w:rPr>
      <w:t xml:space="preserve">Vol. 1, Issue 1 · 2026</w:t>
    </w:r>
    <w:r>
      <w:rPr>
        <w:rFonts w:ascii="Calibri" w:cs="Calibri" w:eastAsia="Calibri" w:hAnsi="Calibri"/>
        <w:sz w:val="18"/>
        <w:szCs w:val="18"/>
      </w:rPr>
      <w:t xml:space="preserve">	</w:t>
    </w:r>
    <w:r>
      <w:rPr>
        <w:rFonts w:ascii="Calibri" w:cs="Calibri" w:eastAsia="Calibri" w:hAnsi="Calibri"/>
        <w:i/>
        <w:iCs/>
        <w:color w:val="4A4A4A"/>
        <w:sz w:val="17"/>
        <w:szCs w:val="17"/>
      </w:rPr>
      <w:t xml:space="preserve">Open Access  |  Peer Reviewed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4A4A4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Calibri" w:cs="Calibri" w:eastAsia="Calibri" w:hAnsi="Calibri"/>
      <w:b/>
      <w:bCs/>
      <w:color w:val="1B2A5E"/>
      <w:sz w:val="26"/>
      <w:szCs w:val="26"/>
    </w:rPr>
  </w:style>
  <w:style w:type="paragraph" w:styleId="Heading2">
    <w:name w:val="Heading 2"/>
    <w:basedOn w:val="Normal"/>
    <w:next w:val="Normal"/>
    <w:qFormat/>
    <w:pPr>
      <w:spacing w:after="80" w:before="200"/>
      <w:outlineLvl w:val="1"/>
    </w:pPr>
    <w:rPr>
      <w:rFonts w:ascii="Calibri" w:cs="Calibri" w:eastAsia="Calibri" w:hAnsi="Calibri"/>
      <w:b/>
      <w:bCs/>
      <w:color w:val="1B2A5E"/>
      <w:sz w:val="24"/>
      <w:szCs w:val="24"/>
    </w:rPr>
  </w:style>
  <w:style w:type="paragraph" w:styleId="Heading3">
    <w:name w:val="Heading 3"/>
    <w:basedOn w:val="Normal"/>
    <w:next w:val="Normal"/>
    <w:qFormat/>
    <w:pPr>
      <w:spacing w:after="60" w:before="160"/>
      <w:outlineLvl w:val="2"/>
    </w:pPr>
    <w:rPr>
      <w:rFonts w:ascii="Calibri" w:cs="Calibri" w:eastAsia="Calibri" w:hAnsi="Calibri"/>
      <w:b/>
      <w:bCs/>
      <w:i/>
      <w:iCs/>
      <w:color w:val="C9922A"/>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f160d3c9f76c2f7bc3feb1d2658562aed6cdd93.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2026-06-28T20:31:59.214Z</dcterms:created>
  <dcterms:modified xsi:type="dcterms:W3CDTF">2026-06-28T20:31:59.214Z</dcterms:modified>
</cp:coreProperties>
</file>

<file path=docProps/custom.xml><?xml version="1.0" encoding="utf-8"?>
<Properties xmlns="http://schemas.openxmlformats.org/officeDocument/2006/custom-properties" xmlns:vt="http://schemas.openxmlformats.org/officeDocument/2006/docPropsVTypes"/>
</file>